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355"/>
        <w:gridCol w:w="4581"/>
      </w:tblGrid>
      <w:tr w:rsidR="00742959" w:rsidTr="001D6A5B">
        <w:tc>
          <w:tcPr>
            <w:tcW w:w="4782" w:type="dxa"/>
            <w:tcBorders>
              <w:right w:val="single" w:sz="18" w:space="0" w:color="808080"/>
            </w:tcBorders>
            <w:vAlign w:val="center"/>
          </w:tcPr>
          <w:p w:rsidR="00742959" w:rsidRDefault="00742959" w:rsidP="00742959">
            <w:pPr>
              <w:pStyle w:val="Sinespaciado"/>
              <w:rPr>
                <w:rFonts w:ascii="Cambria" w:hAnsi="Cambria"/>
                <w:sz w:val="76"/>
                <w:szCs w:val="72"/>
              </w:rPr>
            </w:pPr>
            <w:bookmarkStart w:id="0" w:name="_GoBack"/>
            <w:bookmarkEnd w:id="0"/>
            <w:r>
              <w:rPr>
                <w:rFonts w:ascii="Cambria" w:hAnsi="Cambria"/>
                <w:sz w:val="76"/>
                <w:szCs w:val="72"/>
              </w:rPr>
              <w:t>Informe Preliminar</w:t>
            </w:r>
          </w:p>
        </w:tc>
        <w:tc>
          <w:tcPr>
            <w:tcW w:w="4154" w:type="dxa"/>
            <w:tcBorders>
              <w:left w:val="single" w:sz="18" w:space="0" w:color="808080"/>
            </w:tcBorders>
            <w:vAlign w:val="center"/>
          </w:tcPr>
          <w:p w:rsidR="00742959" w:rsidRDefault="00742959" w:rsidP="006F0760">
            <w:pPr>
              <w:pStyle w:val="Sinespaciado"/>
              <w:jc w:val="center"/>
              <w:rPr>
                <w:color w:val="4F81BD"/>
                <w:sz w:val="200"/>
                <w:szCs w:val="200"/>
              </w:rPr>
            </w:pPr>
            <w:r w:rsidRPr="006F0760">
              <w:rPr>
                <w:sz w:val="144"/>
                <w:szCs w:val="200"/>
              </w:rPr>
              <w:t>2020</w:t>
            </w:r>
          </w:p>
        </w:tc>
      </w:tr>
      <w:tr w:rsidR="001D6A5B" w:rsidTr="001D6A5B">
        <w:tc>
          <w:tcPr>
            <w:tcW w:w="4782" w:type="dxa"/>
            <w:tcBorders>
              <w:bottom w:val="single" w:sz="18" w:space="0" w:color="808080"/>
              <w:right w:val="single" w:sz="18" w:space="0" w:color="808080"/>
            </w:tcBorders>
            <w:vAlign w:val="center"/>
          </w:tcPr>
          <w:p w:rsidR="001D6A5B" w:rsidRPr="001D6A5B" w:rsidRDefault="001D6A5B" w:rsidP="001D6A5B">
            <w:pPr>
              <w:jc w:val="both"/>
              <w:rPr>
                <w:b/>
                <w:sz w:val="40"/>
                <w:lang w:val="es-GT"/>
              </w:rPr>
            </w:pPr>
            <w:r w:rsidRPr="002521AA">
              <w:rPr>
                <w:b/>
                <w:sz w:val="36"/>
                <w:lang w:val="es-GT"/>
              </w:rPr>
              <w:t>Acerca del “Proyecto de Presupuesto General de Ingresos y Egresos del Estado para el Ejercicio Fiscal 2020, y Multianual 2020-2024”</w:t>
            </w:r>
          </w:p>
        </w:tc>
        <w:tc>
          <w:tcPr>
            <w:tcW w:w="4154" w:type="dxa"/>
            <w:tcBorders>
              <w:left w:val="single" w:sz="18" w:space="0" w:color="808080"/>
              <w:bottom w:val="single" w:sz="18" w:space="0" w:color="808080"/>
            </w:tcBorders>
            <w:vAlign w:val="center"/>
          </w:tcPr>
          <w:p w:rsidR="001D6A5B" w:rsidRPr="006F0760" w:rsidRDefault="002521AA" w:rsidP="006F0760">
            <w:pPr>
              <w:pStyle w:val="Sinespaciado"/>
              <w:jc w:val="center"/>
              <w:rPr>
                <w:sz w:val="144"/>
                <w:szCs w:val="200"/>
              </w:rPr>
            </w:pPr>
            <w:r>
              <w:rPr>
                <w:sz w:val="144"/>
                <w:szCs w:val="200"/>
              </w:rPr>
              <w:pict>
                <v:shape id="_x0000_i1025" type="#_x0000_t75" style="width:207.6pt;height:146.4pt">
                  <v:imagedata r:id="rId9" o:title="formulación 2020"/>
                </v:shape>
              </w:pict>
            </w:r>
          </w:p>
        </w:tc>
      </w:tr>
    </w:tbl>
    <w:p w:rsidR="00B51669" w:rsidRPr="008073F8" w:rsidRDefault="00363A19" w:rsidP="00C45DE1">
      <w:pPr>
        <w:jc w:val="both"/>
        <w:rPr>
          <w:b/>
          <w:noProof/>
          <w:sz w:val="48"/>
          <w:lang w:eastAsia="es-ES"/>
        </w:rPr>
      </w:pPr>
      <w:r w:rsidRPr="008073F8">
        <w:rPr>
          <w:b/>
          <w:noProof/>
          <w:sz w:val="48"/>
          <w:lang w:eastAsia="es-ES"/>
        </w:rPr>
        <w:pict>
          <v:shape id="Imagen 3" o:spid="_x0000_i1026" type="#_x0000_t75" style="width:140.4pt;height:103.8pt;visibility:visible">
            <v:imagedata r:id="rId10" o:title="Imagen 2018" croptop="6231f" cropbottom="10846f"/>
          </v:shape>
        </w:pict>
      </w:r>
    </w:p>
    <w:p w:rsidR="006F0760" w:rsidRDefault="006F0760" w:rsidP="00C45DE1">
      <w:pPr>
        <w:jc w:val="both"/>
        <w:rPr>
          <w:b/>
          <w:color w:val="548DD4"/>
          <w:sz w:val="40"/>
          <w:lang w:val="es-GT"/>
        </w:rPr>
      </w:pPr>
    </w:p>
    <w:p w:rsidR="006F0760" w:rsidRDefault="006F0760" w:rsidP="004E2B8D">
      <w:pPr>
        <w:spacing w:after="0"/>
        <w:jc w:val="center"/>
        <w:rPr>
          <w:b/>
          <w:color w:val="548DD4"/>
          <w:sz w:val="40"/>
          <w:lang w:val="es-GT"/>
        </w:rPr>
      </w:pPr>
    </w:p>
    <w:p w:rsidR="006F0760" w:rsidRDefault="006F0760" w:rsidP="004E2B8D">
      <w:pPr>
        <w:spacing w:after="0"/>
        <w:jc w:val="center"/>
        <w:rPr>
          <w:b/>
          <w:color w:val="548DD4"/>
          <w:sz w:val="40"/>
          <w:lang w:val="es-GT"/>
        </w:rPr>
      </w:pPr>
    </w:p>
    <w:p w:rsidR="006F0760" w:rsidRDefault="006F0760" w:rsidP="004E2B8D">
      <w:pPr>
        <w:spacing w:after="0"/>
        <w:jc w:val="center"/>
        <w:rPr>
          <w:b/>
          <w:color w:val="548DD4"/>
          <w:sz w:val="40"/>
          <w:lang w:val="es-GT"/>
        </w:rPr>
      </w:pPr>
    </w:p>
    <w:p w:rsidR="00C45DE1" w:rsidRDefault="00C45DE1" w:rsidP="004E2B8D">
      <w:pPr>
        <w:spacing w:after="0"/>
        <w:jc w:val="center"/>
        <w:rPr>
          <w:b/>
          <w:color w:val="548DD4"/>
          <w:sz w:val="40"/>
          <w:lang w:val="es-GT"/>
        </w:rPr>
      </w:pPr>
    </w:p>
    <w:p w:rsidR="004E2B8D" w:rsidRPr="004E2B8D" w:rsidRDefault="004E2B8D" w:rsidP="003E0978">
      <w:pPr>
        <w:spacing w:after="0"/>
        <w:jc w:val="center"/>
        <w:outlineLvl w:val="0"/>
        <w:rPr>
          <w:b/>
          <w:color w:val="548DD4"/>
          <w:sz w:val="40"/>
          <w:lang w:val="es-GT"/>
        </w:rPr>
      </w:pPr>
      <w:r w:rsidRPr="004E2B8D">
        <w:rPr>
          <w:b/>
          <w:color w:val="548DD4"/>
          <w:sz w:val="40"/>
          <w:lang w:val="es-GT"/>
        </w:rPr>
        <w:t xml:space="preserve">Dirección de </w:t>
      </w:r>
      <w:r w:rsidR="00995491">
        <w:rPr>
          <w:b/>
          <w:color w:val="548DD4"/>
          <w:sz w:val="40"/>
          <w:lang w:val="es-GT"/>
        </w:rPr>
        <w:t xml:space="preserve">Transparencia </w:t>
      </w:r>
      <w:r w:rsidRPr="004E2B8D">
        <w:rPr>
          <w:b/>
          <w:color w:val="548DD4"/>
          <w:sz w:val="40"/>
          <w:lang w:val="es-GT"/>
        </w:rPr>
        <w:t>Fiscal</w:t>
      </w:r>
    </w:p>
    <w:p w:rsidR="004E2B8D" w:rsidRDefault="004E2B8D" w:rsidP="003E0978">
      <w:pPr>
        <w:spacing w:after="0"/>
        <w:jc w:val="center"/>
        <w:outlineLvl w:val="0"/>
        <w:rPr>
          <w:b/>
          <w:color w:val="548DD4"/>
          <w:sz w:val="40"/>
          <w:lang w:val="es-GT"/>
        </w:rPr>
      </w:pPr>
      <w:r w:rsidRPr="004E2B8D">
        <w:rPr>
          <w:b/>
          <w:color w:val="548DD4"/>
          <w:sz w:val="40"/>
          <w:lang w:val="es-GT"/>
        </w:rPr>
        <w:t>Ministerio de Finanzas Públicas</w:t>
      </w:r>
    </w:p>
    <w:p w:rsidR="004E2B8D" w:rsidRPr="004E2B8D" w:rsidRDefault="00F309E6" w:rsidP="003E0978">
      <w:pPr>
        <w:spacing w:after="0"/>
        <w:jc w:val="center"/>
        <w:outlineLvl w:val="0"/>
        <w:rPr>
          <w:b/>
          <w:color w:val="548DD4"/>
          <w:sz w:val="40"/>
          <w:lang w:val="es-GT"/>
        </w:rPr>
      </w:pPr>
      <w:r>
        <w:rPr>
          <w:b/>
          <w:color w:val="548DD4"/>
          <w:sz w:val="40"/>
          <w:lang w:val="es-GT"/>
        </w:rPr>
        <w:t xml:space="preserve">Guatemala, </w:t>
      </w:r>
      <w:r w:rsidR="002041FC">
        <w:rPr>
          <w:b/>
          <w:color w:val="548DD4"/>
          <w:sz w:val="40"/>
          <w:lang w:val="es-GT"/>
        </w:rPr>
        <w:t>2</w:t>
      </w:r>
      <w:r w:rsidR="004E2B8D" w:rsidRPr="004E2B8D">
        <w:rPr>
          <w:b/>
          <w:color w:val="548DD4"/>
          <w:sz w:val="40"/>
          <w:lang w:val="es-GT"/>
        </w:rPr>
        <w:t>-</w:t>
      </w:r>
      <w:proofErr w:type="gramStart"/>
      <w:r w:rsidR="000D5B20">
        <w:rPr>
          <w:b/>
          <w:color w:val="548DD4"/>
          <w:sz w:val="40"/>
          <w:lang w:val="es-GT"/>
        </w:rPr>
        <w:t>Agosto</w:t>
      </w:r>
      <w:proofErr w:type="gramEnd"/>
      <w:r w:rsidR="002041FC">
        <w:rPr>
          <w:b/>
          <w:color w:val="548DD4"/>
          <w:sz w:val="40"/>
          <w:lang w:val="es-GT"/>
        </w:rPr>
        <w:t>-2019</w:t>
      </w:r>
    </w:p>
    <w:p w:rsidR="00DB0548" w:rsidRDefault="00DB0548" w:rsidP="00C374DB">
      <w:pPr>
        <w:jc w:val="center"/>
        <w:rPr>
          <w:b/>
          <w:sz w:val="48"/>
          <w:lang w:val="es-GT"/>
        </w:rPr>
      </w:pPr>
      <w:r>
        <w:rPr>
          <w:b/>
          <w:sz w:val="48"/>
          <w:lang w:val="es-GT"/>
        </w:rPr>
        <w:br w:type="page"/>
      </w:r>
    </w:p>
    <w:p w:rsidR="00DB0548" w:rsidRDefault="00DB0548" w:rsidP="003E0978">
      <w:pPr>
        <w:jc w:val="center"/>
        <w:outlineLvl w:val="0"/>
        <w:rPr>
          <w:b/>
          <w:sz w:val="32"/>
          <w:lang w:val="es-GT"/>
        </w:rPr>
      </w:pPr>
      <w:r w:rsidRPr="00DB0548">
        <w:rPr>
          <w:b/>
          <w:sz w:val="32"/>
          <w:lang w:val="es-GT"/>
        </w:rPr>
        <w:t>Índice</w:t>
      </w:r>
    </w:p>
    <w:p w:rsidR="009446DD" w:rsidRPr="00DB0548" w:rsidRDefault="009446DD" w:rsidP="00DB0548">
      <w:pPr>
        <w:jc w:val="center"/>
        <w:rPr>
          <w:b/>
          <w:sz w:val="32"/>
          <w:lang w:val="es-GT"/>
        </w:rPr>
      </w:pPr>
    </w:p>
    <w:tbl>
      <w:tblPr>
        <w:tblW w:w="4389" w:type="pct"/>
        <w:tblInd w:w="817"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6521"/>
        <w:gridCol w:w="1133"/>
      </w:tblGrid>
      <w:tr w:rsidR="00370462" w:rsidRPr="00150AAA" w:rsidTr="00150AAA">
        <w:tc>
          <w:tcPr>
            <w:tcW w:w="4260" w:type="pct"/>
            <w:tcBorders>
              <w:top w:val="nil"/>
              <w:left w:val="nil"/>
              <w:bottom w:val="single" w:sz="24" w:space="0" w:color="F79646"/>
              <w:right w:val="nil"/>
            </w:tcBorders>
            <w:shd w:val="clear" w:color="auto" w:fill="FFFFFF"/>
          </w:tcPr>
          <w:p w:rsidR="00A640E5" w:rsidRPr="00150AAA" w:rsidRDefault="00A640E5" w:rsidP="00140706">
            <w:pPr>
              <w:rPr>
                <w:rFonts w:eastAsia="Times New Roman"/>
                <w:b/>
                <w:bCs/>
                <w:color w:val="000000"/>
                <w:sz w:val="24"/>
                <w:lang w:val="es-GT"/>
              </w:rPr>
            </w:pPr>
          </w:p>
        </w:tc>
        <w:tc>
          <w:tcPr>
            <w:tcW w:w="740" w:type="pct"/>
            <w:tcBorders>
              <w:top w:val="nil"/>
              <w:left w:val="nil"/>
              <w:bottom w:val="single" w:sz="24" w:space="0" w:color="F79646"/>
              <w:right w:val="nil"/>
            </w:tcBorders>
            <w:shd w:val="clear" w:color="auto" w:fill="FFFFFF"/>
          </w:tcPr>
          <w:p w:rsidR="00A640E5" w:rsidRPr="00150AAA" w:rsidRDefault="00A640E5" w:rsidP="00150AAA">
            <w:pPr>
              <w:jc w:val="center"/>
              <w:rPr>
                <w:rFonts w:eastAsia="Times New Roman"/>
                <w:b/>
                <w:bCs/>
                <w:color w:val="000000"/>
                <w:sz w:val="24"/>
                <w:lang w:val="es-GT"/>
              </w:rPr>
            </w:pPr>
            <w:r w:rsidRPr="00150AAA">
              <w:rPr>
                <w:rFonts w:eastAsia="Times New Roman"/>
                <w:b/>
                <w:bCs/>
                <w:color w:val="000000"/>
                <w:sz w:val="24"/>
                <w:lang w:val="es-GT"/>
              </w:rPr>
              <w:t>Página</w:t>
            </w:r>
          </w:p>
        </w:tc>
      </w:tr>
      <w:tr w:rsidR="002574ED" w:rsidRPr="00150AAA" w:rsidTr="00150AAA">
        <w:tc>
          <w:tcPr>
            <w:tcW w:w="4260" w:type="pct"/>
            <w:tcBorders>
              <w:top w:val="nil"/>
              <w:left w:val="nil"/>
              <w:bottom w:val="nil"/>
              <w:right w:val="single" w:sz="8" w:space="0" w:color="F79646"/>
            </w:tcBorders>
            <w:shd w:val="clear" w:color="auto" w:fill="FFFFFF"/>
          </w:tcPr>
          <w:p w:rsidR="00DB0548" w:rsidRPr="00150AAA" w:rsidRDefault="00DB0548" w:rsidP="00150AAA">
            <w:pPr>
              <w:ind w:left="708"/>
              <w:rPr>
                <w:rFonts w:eastAsia="Times New Roman"/>
                <w:bCs/>
                <w:color w:val="000000"/>
                <w:sz w:val="24"/>
                <w:lang w:val="es-GT"/>
              </w:rPr>
            </w:pPr>
            <w:r w:rsidRPr="00150AAA">
              <w:rPr>
                <w:rFonts w:eastAsia="Times New Roman"/>
                <w:bCs/>
                <w:color w:val="000000"/>
                <w:sz w:val="24"/>
                <w:lang w:val="es-GT"/>
              </w:rPr>
              <w:t>Introducción</w:t>
            </w:r>
          </w:p>
        </w:tc>
        <w:tc>
          <w:tcPr>
            <w:tcW w:w="740" w:type="pct"/>
            <w:tcBorders>
              <w:top w:val="nil"/>
              <w:left w:val="nil"/>
              <w:bottom w:val="nil"/>
            </w:tcBorders>
            <w:shd w:val="clear" w:color="auto" w:fill="FDE4D0"/>
          </w:tcPr>
          <w:p w:rsidR="00DB0548" w:rsidRPr="00150AAA" w:rsidRDefault="009446DD" w:rsidP="00150AAA">
            <w:pPr>
              <w:jc w:val="center"/>
              <w:rPr>
                <w:rFonts w:eastAsia="Times New Roman"/>
                <w:color w:val="000000"/>
                <w:sz w:val="24"/>
                <w:lang w:val="es-GT"/>
              </w:rPr>
            </w:pPr>
            <w:r w:rsidRPr="00150AAA">
              <w:rPr>
                <w:rFonts w:eastAsia="Times New Roman"/>
                <w:color w:val="000000"/>
                <w:sz w:val="24"/>
                <w:lang w:val="es-GT"/>
              </w:rPr>
              <w:t>3</w:t>
            </w:r>
          </w:p>
        </w:tc>
      </w:tr>
      <w:tr w:rsidR="002574ED" w:rsidRPr="00150AAA" w:rsidTr="00150AAA">
        <w:tc>
          <w:tcPr>
            <w:tcW w:w="4260" w:type="pct"/>
            <w:tcBorders>
              <w:left w:val="nil"/>
              <w:bottom w:val="nil"/>
              <w:right w:val="single" w:sz="8" w:space="0" w:color="F79646"/>
            </w:tcBorders>
            <w:shd w:val="clear" w:color="auto" w:fill="FFFFFF"/>
          </w:tcPr>
          <w:p w:rsidR="00DB0548" w:rsidRPr="00150AAA" w:rsidRDefault="00A640E5" w:rsidP="00150AAA">
            <w:pPr>
              <w:numPr>
                <w:ilvl w:val="0"/>
                <w:numId w:val="11"/>
              </w:numPr>
              <w:jc w:val="both"/>
              <w:rPr>
                <w:rFonts w:eastAsia="Times New Roman"/>
                <w:bCs/>
                <w:color w:val="000000"/>
                <w:sz w:val="24"/>
                <w:lang w:val="es-GT"/>
              </w:rPr>
            </w:pPr>
            <w:r w:rsidRPr="00150AAA">
              <w:rPr>
                <w:rFonts w:eastAsia="Times New Roman"/>
                <w:bCs/>
                <w:color w:val="000000"/>
                <w:sz w:val="24"/>
                <w:lang w:val="es-GT"/>
              </w:rPr>
              <w:t>Principales supuestos en el contexto de mediano plazo</w:t>
            </w:r>
          </w:p>
        </w:tc>
        <w:tc>
          <w:tcPr>
            <w:tcW w:w="740" w:type="pct"/>
          </w:tcPr>
          <w:p w:rsidR="00DB0548" w:rsidRPr="00150AAA" w:rsidRDefault="005637B7" w:rsidP="00150AAA">
            <w:pPr>
              <w:jc w:val="center"/>
              <w:rPr>
                <w:rFonts w:eastAsia="Times New Roman"/>
                <w:color w:val="000000"/>
                <w:sz w:val="24"/>
                <w:lang w:val="es-GT"/>
              </w:rPr>
            </w:pPr>
            <w:r w:rsidRPr="00150AAA">
              <w:rPr>
                <w:rFonts w:eastAsia="Times New Roman"/>
                <w:color w:val="000000"/>
                <w:sz w:val="24"/>
                <w:lang w:val="es-GT"/>
              </w:rPr>
              <w:t>4</w:t>
            </w:r>
          </w:p>
        </w:tc>
      </w:tr>
      <w:tr w:rsidR="002574ED" w:rsidRPr="00150AAA" w:rsidTr="00150AAA">
        <w:tc>
          <w:tcPr>
            <w:tcW w:w="4260" w:type="pct"/>
            <w:tcBorders>
              <w:top w:val="nil"/>
              <w:left w:val="nil"/>
              <w:bottom w:val="nil"/>
              <w:right w:val="single" w:sz="8" w:space="0" w:color="F79646"/>
            </w:tcBorders>
            <w:shd w:val="clear" w:color="auto" w:fill="FFFFFF"/>
          </w:tcPr>
          <w:p w:rsidR="00DB0548" w:rsidRPr="00150AAA" w:rsidRDefault="00766466" w:rsidP="00150AAA">
            <w:pPr>
              <w:numPr>
                <w:ilvl w:val="0"/>
                <w:numId w:val="11"/>
              </w:numPr>
              <w:rPr>
                <w:rFonts w:eastAsia="Times New Roman"/>
                <w:bCs/>
                <w:color w:val="000000"/>
                <w:sz w:val="24"/>
                <w:lang w:val="es-GT"/>
              </w:rPr>
            </w:pPr>
            <w:r w:rsidRPr="00150AAA">
              <w:rPr>
                <w:rFonts w:eastAsia="Times New Roman"/>
                <w:bCs/>
                <w:color w:val="000000"/>
                <w:sz w:val="24"/>
                <w:lang w:val="es-GT"/>
              </w:rPr>
              <w:t>Estrategia y Metodología</w:t>
            </w:r>
          </w:p>
        </w:tc>
        <w:tc>
          <w:tcPr>
            <w:tcW w:w="740" w:type="pct"/>
            <w:tcBorders>
              <w:top w:val="nil"/>
              <w:left w:val="nil"/>
              <w:bottom w:val="nil"/>
            </w:tcBorders>
            <w:shd w:val="clear" w:color="auto" w:fill="FDE4D0"/>
          </w:tcPr>
          <w:p w:rsidR="00DB0548" w:rsidRPr="00150AAA" w:rsidRDefault="00201F28" w:rsidP="00150AAA">
            <w:pPr>
              <w:jc w:val="center"/>
              <w:rPr>
                <w:rFonts w:eastAsia="Times New Roman"/>
                <w:color w:val="000000"/>
                <w:sz w:val="24"/>
                <w:lang w:val="es-GT"/>
              </w:rPr>
            </w:pPr>
            <w:r w:rsidRPr="00150AAA">
              <w:rPr>
                <w:rFonts w:eastAsia="Times New Roman"/>
                <w:color w:val="000000"/>
                <w:sz w:val="24"/>
                <w:lang w:val="es-GT"/>
              </w:rPr>
              <w:t>5</w:t>
            </w:r>
          </w:p>
        </w:tc>
      </w:tr>
      <w:tr w:rsidR="002574ED" w:rsidRPr="00150AAA" w:rsidTr="00150AAA">
        <w:tc>
          <w:tcPr>
            <w:tcW w:w="4260" w:type="pct"/>
            <w:tcBorders>
              <w:left w:val="nil"/>
              <w:bottom w:val="nil"/>
              <w:right w:val="single" w:sz="8" w:space="0" w:color="F79646"/>
            </w:tcBorders>
            <w:shd w:val="clear" w:color="auto" w:fill="FFFFFF"/>
          </w:tcPr>
          <w:p w:rsidR="00DB0548" w:rsidRPr="00150AAA" w:rsidRDefault="00E20F6A" w:rsidP="00150AAA">
            <w:pPr>
              <w:numPr>
                <w:ilvl w:val="0"/>
                <w:numId w:val="11"/>
              </w:numPr>
              <w:rPr>
                <w:rFonts w:eastAsia="Times New Roman"/>
                <w:bCs/>
                <w:color w:val="000000"/>
                <w:sz w:val="24"/>
                <w:lang w:val="es-GT"/>
              </w:rPr>
            </w:pPr>
            <w:r w:rsidRPr="00150AAA">
              <w:rPr>
                <w:rFonts w:eastAsia="Times New Roman"/>
                <w:bCs/>
                <w:color w:val="000000"/>
                <w:sz w:val="24"/>
                <w:lang w:val="es-GT"/>
              </w:rPr>
              <w:t>Estimaciones Macroeconómicas</w:t>
            </w:r>
          </w:p>
        </w:tc>
        <w:tc>
          <w:tcPr>
            <w:tcW w:w="740" w:type="pct"/>
          </w:tcPr>
          <w:p w:rsidR="00DB0548" w:rsidRPr="00150AAA" w:rsidRDefault="00A649ED" w:rsidP="00150AAA">
            <w:pPr>
              <w:jc w:val="center"/>
              <w:rPr>
                <w:rFonts w:eastAsia="Times New Roman"/>
                <w:color w:val="000000"/>
                <w:sz w:val="24"/>
                <w:lang w:val="es-GT"/>
              </w:rPr>
            </w:pPr>
            <w:r>
              <w:rPr>
                <w:rFonts w:eastAsia="Times New Roman"/>
                <w:color w:val="000000"/>
                <w:sz w:val="24"/>
                <w:lang w:val="es-GT"/>
              </w:rPr>
              <w:t>7</w:t>
            </w:r>
          </w:p>
        </w:tc>
      </w:tr>
      <w:tr w:rsidR="002574ED" w:rsidRPr="00150AAA" w:rsidTr="00150AAA">
        <w:tc>
          <w:tcPr>
            <w:tcW w:w="4260" w:type="pct"/>
            <w:tcBorders>
              <w:top w:val="nil"/>
              <w:left w:val="nil"/>
              <w:bottom w:val="nil"/>
              <w:right w:val="single" w:sz="8" w:space="0" w:color="F79646"/>
            </w:tcBorders>
            <w:shd w:val="clear" w:color="auto" w:fill="FFFFFF"/>
          </w:tcPr>
          <w:p w:rsidR="00DB0548" w:rsidRPr="00150AAA" w:rsidRDefault="00A27455" w:rsidP="00150AAA">
            <w:pPr>
              <w:ind w:left="708"/>
              <w:rPr>
                <w:rFonts w:eastAsia="Times New Roman"/>
                <w:bCs/>
                <w:color w:val="000000"/>
                <w:sz w:val="24"/>
                <w:lang w:val="es-GT"/>
              </w:rPr>
            </w:pPr>
            <w:r w:rsidRPr="00150AAA">
              <w:rPr>
                <w:rFonts w:eastAsia="Times New Roman" w:cs="Arial"/>
                <w:bCs/>
                <w:color w:val="000000"/>
                <w:sz w:val="24"/>
                <w:szCs w:val="24"/>
              </w:rPr>
              <w:t xml:space="preserve">3.1 Crecimiento </w:t>
            </w:r>
            <w:r w:rsidR="000F7C55">
              <w:rPr>
                <w:rFonts w:eastAsia="Times New Roman" w:cs="Arial"/>
                <w:bCs/>
                <w:color w:val="000000"/>
                <w:sz w:val="24"/>
                <w:szCs w:val="24"/>
              </w:rPr>
              <w:t xml:space="preserve">del </w:t>
            </w:r>
            <w:r w:rsidRPr="00150AAA">
              <w:rPr>
                <w:rFonts w:eastAsia="Times New Roman" w:cs="Arial"/>
                <w:bCs/>
                <w:color w:val="000000"/>
                <w:sz w:val="24"/>
                <w:szCs w:val="24"/>
              </w:rPr>
              <w:t>PIB</w:t>
            </w:r>
          </w:p>
        </w:tc>
        <w:tc>
          <w:tcPr>
            <w:tcW w:w="740" w:type="pct"/>
            <w:tcBorders>
              <w:top w:val="nil"/>
              <w:left w:val="nil"/>
              <w:bottom w:val="nil"/>
            </w:tcBorders>
            <w:shd w:val="clear" w:color="auto" w:fill="FDE4D0"/>
          </w:tcPr>
          <w:p w:rsidR="00DB0548" w:rsidRPr="00150AAA" w:rsidRDefault="0012717D" w:rsidP="00150AAA">
            <w:pPr>
              <w:jc w:val="center"/>
              <w:rPr>
                <w:rFonts w:eastAsia="Times New Roman"/>
                <w:color w:val="000000"/>
                <w:sz w:val="24"/>
                <w:lang w:val="es-GT"/>
              </w:rPr>
            </w:pPr>
            <w:r w:rsidRPr="00150AAA">
              <w:rPr>
                <w:rFonts w:eastAsia="Times New Roman"/>
                <w:color w:val="000000"/>
                <w:sz w:val="24"/>
                <w:lang w:val="es-GT"/>
              </w:rPr>
              <w:t>7</w:t>
            </w:r>
          </w:p>
        </w:tc>
      </w:tr>
      <w:tr w:rsidR="002574ED" w:rsidRPr="00150AAA" w:rsidTr="00150AAA">
        <w:tc>
          <w:tcPr>
            <w:tcW w:w="4260" w:type="pct"/>
            <w:tcBorders>
              <w:left w:val="nil"/>
              <w:bottom w:val="nil"/>
              <w:right w:val="single" w:sz="8" w:space="0" w:color="F79646"/>
            </w:tcBorders>
            <w:shd w:val="clear" w:color="auto" w:fill="FFFFFF"/>
          </w:tcPr>
          <w:p w:rsidR="00DB0548" w:rsidRPr="00150AAA" w:rsidRDefault="004F0ED4" w:rsidP="00150AAA">
            <w:pPr>
              <w:ind w:left="708"/>
              <w:rPr>
                <w:rFonts w:eastAsia="Times New Roman"/>
                <w:bCs/>
                <w:color w:val="000000"/>
                <w:sz w:val="24"/>
                <w:lang w:val="es-GT"/>
              </w:rPr>
            </w:pPr>
            <w:r w:rsidRPr="00150AAA">
              <w:rPr>
                <w:rFonts w:eastAsia="Times New Roman"/>
                <w:bCs/>
                <w:color w:val="000000"/>
                <w:sz w:val="24"/>
              </w:rPr>
              <w:t xml:space="preserve">3.2 </w:t>
            </w:r>
            <w:r w:rsidR="00201F28" w:rsidRPr="00150AAA">
              <w:rPr>
                <w:rFonts w:eastAsia="Times New Roman"/>
                <w:bCs/>
                <w:color w:val="000000"/>
                <w:sz w:val="24"/>
              </w:rPr>
              <w:t>Importaciones y Exportaciones FOB</w:t>
            </w:r>
          </w:p>
        </w:tc>
        <w:tc>
          <w:tcPr>
            <w:tcW w:w="740" w:type="pct"/>
          </w:tcPr>
          <w:p w:rsidR="00DB0548" w:rsidRPr="00150AAA" w:rsidRDefault="00201F28" w:rsidP="00150AAA">
            <w:pPr>
              <w:jc w:val="center"/>
              <w:rPr>
                <w:rFonts w:eastAsia="Times New Roman"/>
                <w:color w:val="000000"/>
                <w:sz w:val="24"/>
                <w:lang w:val="es-GT"/>
              </w:rPr>
            </w:pPr>
            <w:r w:rsidRPr="00150AAA">
              <w:rPr>
                <w:rFonts w:eastAsia="Times New Roman"/>
                <w:color w:val="000000"/>
                <w:sz w:val="24"/>
                <w:lang w:val="es-GT"/>
              </w:rPr>
              <w:t>7</w:t>
            </w:r>
          </w:p>
        </w:tc>
      </w:tr>
      <w:tr w:rsidR="002574ED" w:rsidRPr="00150AAA" w:rsidTr="00150AAA">
        <w:tc>
          <w:tcPr>
            <w:tcW w:w="4260" w:type="pct"/>
            <w:tcBorders>
              <w:top w:val="nil"/>
              <w:left w:val="nil"/>
              <w:bottom w:val="nil"/>
              <w:right w:val="single" w:sz="8" w:space="0" w:color="F79646"/>
            </w:tcBorders>
            <w:shd w:val="clear" w:color="auto" w:fill="FFFFFF"/>
          </w:tcPr>
          <w:p w:rsidR="00DB0548" w:rsidRPr="00150AAA" w:rsidRDefault="004F0ED4" w:rsidP="00150AAA">
            <w:pPr>
              <w:ind w:left="708"/>
              <w:rPr>
                <w:rFonts w:eastAsia="Times New Roman"/>
                <w:bCs/>
                <w:color w:val="000000"/>
                <w:sz w:val="24"/>
                <w:lang w:val="es-GT"/>
              </w:rPr>
            </w:pPr>
            <w:r w:rsidRPr="00150AAA">
              <w:rPr>
                <w:rFonts w:eastAsia="Times New Roman"/>
                <w:bCs/>
                <w:color w:val="000000"/>
                <w:sz w:val="24"/>
                <w:lang w:val="es-GT"/>
              </w:rPr>
              <w:t xml:space="preserve">3.3 </w:t>
            </w:r>
            <w:r w:rsidR="00201F28" w:rsidRPr="00150AAA">
              <w:rPr>
                <w:rFonts w:eastAsia="Times New Roman"/>
                <w:bCs/>
                <w:color w:val="000000"/>
                <w:sz w:val="24"/>
                <w:lang w:val="es-GT"/>
              </w:rPr>
              <w:t>Inflación</w:t>
            </w:r>
          </w:p>
        </w:tc>
        <w:tc>
          <w:tcPr>
            <w:tcW w:w="740" w:type="pct"/>
            <w:tcBorders>
              <w:top w:val="nil"/>
              <w:left w:val="nil"/>
              <w:bottom w:val="nil"/>
            </w:tcBorders>
            <w:shd w:val="clear" w:color="auto" w:fill="FDE4D0"/>
          </w:tcPr>
          <w:p w:rsidR="00DB0548" w:rsidRPr="00150AAA" w:rsidRDefault="00F15647" w:rsidP="00150AAA">
            <w:pPr>
              <w:jc w:val="center"/>
              <w:rPr>
                <w:rFonts w:eastAsia="Times New Roman"/>
                <w:color w:val="000000"/>
                <w:sz w:val="24"/>
                <w:lang w:val="es-GT"/>
              </w:rPr>
            </w:pPr>
            <w:r>
              <w:rPr>
                <w:rFonts w:eastAsia="Times New Roman"/>
                <w:color w:val="000000"/>
                <w:sz w:val="24"/>
                <w:lang w:val="es-GT"/>
              </w:rPr>
              <w:t>10</w:t>
            </w:r>
          </w:p>
        </w:tc>
      </w:tr>
      <w:tr w:rsidR="00A93D58" w:rsidRPr="00150AAA" w:rsidTr="00150AAA">
        <w:tc>
          <w:tcPr>
            <w:tcW w:w="4260" w:type="pct"/>
            <w:tcBorders>
              <w:top w:val="nil"/>
              <w:left w:val="nil"/>
              <w:bottom w:val="nil"/>
              <w:right w:val="single" w:sz="8" w:space="0" w:color="F79646"/>
            </w:tcBorders>
            <w:shd w:val="clear" w:color="auto" w:fill="FFFFFF"/>
          </w:tcPr>
          <w:p w:rsidR="00A93D58" w:rsidRPr="00150AAA" w:rsidRDefault="00A93D58" w:rsidP="003058F5">
            <w:pPr>
              <w:ind w:left="708"/>
              <w:rPr>
                <w:rFonts w:eastAsia="Times New Roman"/>
                <w:bCs/>
                <w:color w:val="000000"/>
                <w:sz w:val="24"/>
                <w:lang w:val="es-GT"/>
              </w:rPr>
            </w:pPr>
            <w:r>
              <w:rPr>
                <w:rFonts w:eastAsia="Times New Roman"/>
                <w:bCs/>
                <w:color w:val="000000"/>
                <w:sz w:val="24"/>
                <w:lang w:val="es-GT"/>
              </w:rPr>
              <w:t xml:space="preserve">3.4 Tasa de </w:t>
            </w:r>
            <w:r w:rsidR="003058F5">
              <w:rPr>
                <w:rFonts w:eastAsia="Times New Roman"/>
                <w:bCs/>
                <w:color w:val="000000"/>
                <w:sz w:val="24"/>
                <w:lang w:val="es-GT"/>
              </w:rPr>
              <w:t>I</w:t>
            </w:r>
            <w:r>
              <w:rPr>
                <w:rFonts w:eastAsia="Times New Roman"/>
                <w:bCs/>
                <w:color w:val="000000"/>
                <w:sz w:val="24"/>
                <w:lang w:val="es-GT"/>
              </w:rPr>
              <w:t>nterés</w:t>
            </w:r>
          </w:p>
        </w:tc>
        <w:tc>
          <w:tcPr>
            <w:tcW w:w="740" w:type="pct"/>
            <w:tcBorders>
              <w:top w:val="nil"/>
              <w:left w:val="nil"/>
              <w:bottom w:val="nil"/>
            </w:tcBorders>
            <w:shd w:val="clear" w:color="auto" w:fill="FDE4D0"/>
          </w:tcPr>
          <w:p w:rsidR="00A93D58" w:rsidRPr="00150AAA" w:rsidRDefault="00F15647" w:rsidP="00150AAA">
            <w:pPr>
              <w:jc w:val="center"/>
              <w:rPr>
                <w:rFonts w:eastAsia="Times New Roman"/>
                <w:color w:val="000000"/>
                <w:sz w:val="24"/>
                <w:lang w:val="es-GT"/>
              </w:rPr>
            </w:pPr>
            <w:r>
              <w:rPr>
                <w:rFonts w:eastAsia="Times New Roman"/>
                <w:color w:val="000000"/>
                <w:sz w:val="24"/>
                <w:lang w:val="es-GT"/>
              </w:rPr>
              <w:t>10</w:t>
            </w:r>
          </w:p>
        </w:tc>
      </w:tr>
      <w:tr w:rsidR="002574ED" w:rsidRPr="00150AAA" w:rsidTr="00150AAA">
        <w:tc>
          <w:tcPr>
            <w:tcW w:w="4260" w:type="pct"/>
            <w:tcBorders>
              <w:left w:val="nil"/>
              <w:bottom w:val="nil"/>
              <w:right w:val="single" w:sz="8" w:space="0" w:color="F79646"/>
            </w:tcBorders>
            <w:shd w:val="clear" w:color="auto" w:fill="FFFFFF"/>
          </w:tcPr>
          <w:p w:rsidR="00DB0548" w:rsidRPr="00150AAA" w:rsidRDefault="00A93D58" w:rsidP="00150AAA">
            <w:pPr>
              <w:ind w:left="708"/>
              <w:rPr>
                <w:rFonts w:eastAsia="Times New Roman"/>
                <w:bCs/>
                <w:color w:val="000000"/>
                <w:sz w:val="24"/>
                <w:lang w:val="es-GT"/>
              </w:rPr>
            </w:pPr>
            <w:r>
              <w:rPr>
                <w:rFonts w:eastAsia="Times New Roman"/>
                <w:bCs/>
                <w:color w:val="000000"/>
                <w:sz w:val="24"/>
                <w:lang w:val="es-GT"/>
              </w:rPr>
              <w:t>3.5</w:t>
            </w:r>
            <w:r w:rsidR="006E3B24" w:rsidRPr="00150AAA">
              <w:rPr>
                <w:rFonts w:eastAsia="Times New Roman"/>
                <w:bCs/>
                <w:color w:val="000000"/>
                <w:sz w:val="24"/>
                <w:lang w:val="es-GT"/>
              </w:rPr>
              <w:t xml:space="preserve"> D</w:t>
            </w:r>
            <w:r w:rsidR="00201F28" w:rsidRPr="00150AAA">
              <w:rPr>
                <w:rFonts w:eastAsia="Times New Roman"/>
                <w:bCs/>
                <w:color w:val="000000"/>
                <w:sz w:val="24"/>
                <w:lang w:val="es-GT"/>
              </w:rPr>
              <w:t>éficit Fiscal</w:t>
            </w:r>
          </w:p>
        </w:tc>
        <w:tc>
          <w:tcPr>
            <w:tcW w:w="740" w:type="pct"/>
          </w:tcPr>
          <w:p w:rsidR="00DB0548" w:rsidRPr="00150AAA" w:rsidRDefault="004E00EB" w:rsidP="00150AAA">
            <w:pPr>
              <w:jc w:val="center"/>
              <w:rPr>
                <w:rFonts w:eastAsia="Times New Roman"/>
                <w:color w:val="000000"/>
                <w:sz w:val="24"/>
                <w:lang w:val="es-GT"/>
              </w:rPr>
            </w:pPr>
            <w:r>
              <w:rPr>
                <w:rFonts w:eastAsia="Times New Roman"/>
                <w:color w:val="000000"/>
                <w:sz w:val="24"/>
                <w:lang w:val="es-GT"/>
              </w:rPr>
              <w:t>1</w:t>
            </w:r>
            <w:r w:rsidR="00F15647">
              <w:rPr>
                <w:rFonts w:eastAsia="Times New Roman"/>
                <w:color w:val="000000"/>
                <w:sz w:val="24"/>
                <w:lang w:val="es-GT"/>
              </w:rPr>
              <w:t>1</w:t>
            </w:r>
          </w:p>
        </w:tc>
      </w:tr>
      <w:tr w:rsidR="00370462" w:rsidRPr="00150AAA" w:rsidTr="00150AAA">
        <w:tc>
          <w:tcPr>
            <w:tcW w:w="4260" w:type="pct"/>
            <w:tcBorders>
              <w:top w:val="nil"/>
              <w:left w:val="nil"/>
              <w:bottom w:val="nil"/>
              <w:right w:val="single" w:sz="8" w:space="0" w:color="F79646"/>
            </w:tcBorders>
            <w:shd w:val="clear" w:color="auto" w:fill="FFFFFF"/>
          </w:tcPr>
          <w:p w:rsidR="004F0ED4" w:rsidRPr="00150AAA" w:rsidRDefault="00A93D58" w:rsidP="00150AAA">
            <w:pPr>
              <w:ind w:left="708"/>
              <w:rPr>
                <w:rFonts w:eastAsia="Times New Roman"/>
                <w:bCs/>
                <w:color w:val="000000"/>
                <w:sz w:val="24"/>
                <w:lang w:val="es-GT"/>
              </w:rPr>
            </w:pPr>
            <w:r>
              <w:rPr>
                <w:rFonts w:eastAsia="Times New Roman"/>
                <w:bCs/>
                <w:color w:val="000000"/>
                <w:sz w:val="24"/>
                <w:lang w:val="es-GT"/>
              </w:rPr>
              <w:t>3.6</w:t>
            </w:r>
            <w:r w:rsidR="006E3B24" w:rsidRPr="00150AAA">
              <w:rPr>
                <w:rFonts w:eastAsia="Times New Roman"/>
                <w:bCs/>
                <w:color w:val="000000"/>
                <w:sz w:val="24"/>
                <w:lang w:val="es-GT"/>
              </w:rPr>
              <w:t xml:space="preserve"> </w:t>
            </w:r>
            <w:r w:rsidR="00201F28" w:rsidRPr="00150AAA">
              <w:rPr>
                <w:rFonts w:eastAsia="Times New Roman"/>
                <w:bCs/>
                <w:color w:val="000000"/>
                <w:sz w:val="24"/>
                <w:lang w:val="es-GT"/>
              </w:rPr>
              <w:t>Deuda Pública</w:t>
            </w:r>
          </w:p>
        </w:tc>
        <w:tc>
          <w:tcPr>
            <w:tcW w:w="740" w:type="pct"/>
            <w:tcBorders>
              <w:top w:val="nil"/>
              <w:left w:val="nil"/>
              <w:bottom w:val="nil"/>
            </w:tcBorders>
            <w:shd w:val="clear" w:color="auto" w:fill="FDE4D0"/>
          </w:tcPr>
          <w:p w:rsidR="004F0ED4" w:rsidRPr="00150AAA" w:rsidRDefault="00CB6B36" w:rsidP="00150AAA">
            <w:pPr>
              <w:jc w:val="center"/>
              <w:rPr>
                <w:rFonts w:eastAsia="Times New Roman"/>
                <w:color w:val="000000"/>
                <w:sz w:val="24"/>
                <w:lang w:val="es-GT"/>
              </w:rPr>
            </w:pPr>
            <w:r w:rsidRPr="00150AAA">
              <w:rPr>
                <w:rFonts w:eastAsia="Times New Roman"/>
                <w:color w:val="000000"/>
                <w:sz w:val="24"/>
                <w:lang w:val="es-GT"/>
              </w:rPr>
              <w:t>1</w:t>
            </w:r>
            <w:r w:rsidR="004E00EB">
              <w:rPr>
                <w:rFonts w:eastAsia="Times New Roman"/>
                <w:color w:val="000000"/>
                <w:sz w:val="24"/>
                <w:lang w:val="es-GT"/>
              </w:rPr>
              <w:t>1</w:t>
            </w:r>
          </w:p>
        </w:tc>
      </w:tr>
      <w:tr w:rsidR="00370462" w:rsidRPr="00150AAA" w:rsidTr="00150AAA">
        <w:tc>
          <w:tcPr>
            <w:tcW w:w="4260" w:type="pct"/>
            <w:tcBorders>
              <w:left w:val="nil"/>
              <w:bottom w:val="nil"/>
              <w:right w:val="single" w:sz="8" w:space="0" w:color="F79646"/>
            </w:tcBorders>
            <w:shd w:val="clear" w:color="auto" w:fill="FFFFFF"/>
          </w:tcPr>
          <w:p w:rsidR="004F0ED4" w:rsidRPr="00150AAA" w:rsidRDefault="00CB6B36" w:rsidP="00F15647">
            <w:pPr>
              <w:numPr>
                <w:ilvl w:val="0"/>
                <w:numId w:val="11"/>
              </w:numPr>
              <w:rPr>
                <w:rFonts w:eastAsia="Times New Roman"/>
                <w:bCs/>
                <w:color w:val="000000"/>
                <w:sz w:val="24"/>
                <w:lang w:val="es-GT"/>
              </w:rPr>
            </w:pPr>
            <w:r w:rsidRPr="00150AAA">
              <w:rPr>
                <w:rFonts w:eastAsia="Times New Roman"/>
                <w:bCs/>
                <w:color w:val="000000"/>
                <w:sz w:val="24"/>
                <w:lang w:val="es-GT"/>
              </w:rPr>
              <w:t xml:space="preserve">Proyecto de Presupuesto </w:t>
            </w:r>
            <w:r w:rsidR="00201F28" w:rsidRPr="00150AAA">
              <w:rPr>
                <w:rFonts w:eastAsia="Times New Roman"/>
                <w:bCs/>
                <w:color w:val="000000"/>
                <w:sz w:val="24"/>
                <w:lang w:val="es-GT"/>
              </w:rPr>
              <w:t>20</w:t>
            </w:r>
            <w:r w:rsidR="00F15647">
              <w:rPr>
                <w:rFonts w:eastAsia="Times New Roman"/>
                <w:bCs/>
                <w:color w:val="000000"/>
                <w:sz w:val="24"/>
                <w:lang w:val="es-GT"/>
              </w:rPr>
              <w:t>20</w:t>
            </w:r>
            <w:r w:rsidR="00201F28" w:rsidRPr="00150AAA">
              <w:rPr>
                <w:rFonts w:eastAsia="Times New Roman"/>
                <w:bCs/>
                <w:color w:val="000000"/>
                <w:sz w:val="24"/>
                <w:lang w:val="es-GT"/>
              </w:rPr>
              <w:t xml:space="preserve"> y Multianual 20</w:t>
            </w:r>
            <w:r w:rsidR="00F15647">
              <w:rPr>
                <w:rFonts w:eastAsia="Times New Roman"/>
                <w:bCs/>
                <w:color w:val="000000"/>
                <w:sz w:val="24"/>
                <w:lang w:val="es-GT"/>
              </w:rPr>
              <w:t>20</w:t>
            </w:r>
            <w:r w:rsidR="00201F28" w:rsidRPr="00150AAA">
              <w:rPr>
                <w:rFonts w:eastAsia="Times New Roman"/>
                <w:bCs/>
                <w:color w:val="000000"/>
                <w:sz w:val="24"/>
                <w:lang w:val="es-GT"/>
              </w:rPr>
              <w:t>-202</w:t>
            </w:r>
            <w:r w:rsidR="00F15647">
              <w:rPr>
                <w:rFonts w:eastAsia="Times New Roman"/>
                <w:bCs/>
                <w:color w:val="000000"/>
                <w:sz w:val="24"/>
                <w:lang w:val="es-GT"/>
              </w:rPr>
              <w:t>4</w:t>
            </w:r>
          </w:p>
        </w:tc>
        <w:tc>
          <w:tcPr>
            <w:tcW w:w="740" w:type="pct"/>
          </w:tcPr>
          <w:p w:rsidR="004F0ED4" w:rsidRPr="00150AAA" w:rsidRDefault="009446DD" w:rsidP="00150AAA">
            <w:pPr>
              <w:jc w:val="center"/>
              <w:rPr>
                <w:rFonts w:eastAsia="Times New Roman"/>
                <w:color w:val="000000"/>
                <w:sz w:val="24"/>
                <w:lang w:val="es-GT"/>
              </w:rPr>
            </w:pPr>
            <w:r w:rsidRPr="00150AAA">
              <w:rPr>
                <w:rFonts w:eastAsia="Times New Roman"/>
                <w:color w:val="000000"/>
                <w:sz w:val="24"/>
                <w:lang w:val="es-GT"/>
              </w:rPr>
              <w:t>1</w:t>
            </w:r>
            <w:r w:rsidR="004E00EB">
              <w:rPr>
                <w:rFonts w:eastAsia="Times New Roman"/>
                <w:color w:val="000000"/>
                <w:sz w:val="24"/>
                <w:lang w:val="es-GT"/>
              </w:rPr>
              <w:t>2</w:t>
            </w:r>
          </w:p>
        </w:tc>
      </w:tr>
      <w:tr w:rsidR="00201F28" w:rsidRPr="00150AAA" w:rsidTr="00150AAA">
        <w:tc>
          <w:tcPr>
            <w:tcW w:w="4260" w:type="pct"/>
            <w:tcBorders>
              <w:top w:val="nil"/>
              <w:left w:val="nil"/>
              <w:bottom w:val="nil"/>
              <w:right w:val="single" w:sz="8" w:space="0" w:color="F79646"/>
            </w:tcBorders>
            <w:shd w:val="clear" w:color="auto" w:fill="FFFFFF"/>
          </w:tcPr>
          <w:p w:rsidR="00201F28" w:rsidRPr="00150AAA" w:rsidRDefault="00201F28" w:rsidP="00150AAA">
            <w:pPr>
              <w:ind w:left="708"/>
              <w:rPr>
                <w:rFonts w:eastAsia="Times New Roman"/>
                <w:bCs/>
                <w:color w:val="000000"/>
                <w:sz w:val="24"/>
                <w:lang w:val="es-GT"/>
              </w:rPr>
            </w:pPr>
            <w:r w:rsidRPr="00150AAA">
              <w:rPr>
                <w:rFonts w:eastAsia="Times New Roman"/>
                <w:bCs/>
                <w:color w:val="000000"/>
                <w:sz w:val="24"/>
                <w:lang w:val="es-GT"/>
              </w:rPr>
              <w:t>4.1 Ruta País</w:t>
            </w:r>
          </w:p>
        </w:tc>
        <w:tc>
          <w:tcPr>
            <w:tcW w:w="740" w:type="pct"/>
            <w:tcBorders>
              <w:top w:val="nil"/>
              <w:left w:val="nil"/>
              <w:bottom w:val="nil"/>
            </w:tcBorders>
            <w:shd w:val="clear" w:color="auto" w:fill="FDE4D0"/>
          </w:tcPr>
          <w:p w:rsidR="00201F28" w:rsidRPr="00150AAA" w:rsidRDefault="004E00EB" w:rsidP="00150AAA">
            <w:pPr>
              <w:jc w:val="center"/>
              <w:rPr>
                <w:rFonts w:eastAsia="Times New Roman"/>
                <w:color w:val="000000"/>
                <w:sz w:val="24"/>
                <w:lang w:val="es-GT"/>
              </w:rPr>
            </w:pPr>
            <w:r>
              <w:rPr>
                <w:rFonts w:eastAsia="Times New Roman"/>
                <w:color w:val="000000"/>
                <w:sz w:val="24"/>
                <w:lang w:val="es-GT"/>
              </w:rPr>
              <w:t>12</w:t>
            </w:r>
          </w:p>
        </w:tc>
      </w:tr>
      <w:tr w:rsidR="00370462" w:rsidRPr="00150AAA" w:rsidTr="00150AAA">
        <w:tc>
          <w:tcPr>
            <w:tcW w:w="4260" w:type="pct"/>
            <w:tcBorders>
              <w:left w:val="nil"/>
              <w:bottom w:val="nil"/>
              <w:right w:val="single" w:sz="8" w:space="0" w:color="F79646"/>
            </w:tcBorders>
            <w:shd w:val="clear" w:color="auto" w:fill="FFFFFF"/>
          </w:tcPr>
          <w:p w:rsidR="004F0ED4" w:rsidRPr="00150AAA" w:rsidRDefault="00201F28" w:rsidP="000F7C55">
            <w:pPr>
              <w:ind w:left="708"/>
              <w:rPr>
                <w:rFonts w:eastAsia="Times New Roman"/>
                <w:bCs/>
                <w:color w:val="000000"/>
                <w:sz w:val="24"/>
                <w:lang w:val="es-GT"/>
              </w:rPr>
            </w:pPr>
            <w:r w:rsidRPr="00150AAA">
              <w:rPr>
                <w:rFonts w:eastAsia="Times New Roman"/>
                <w:bCs/>
                <w:color w:val="000000"/>
                <w:sz w:val="24"/>
                <w:lang w:val="es-GT"/>
              </w:rPr>
              <w:t>4.2</w:t>
            </w:r>
            <w:r w:rsidR="00490DFB" w:rsidRPr="00150AAA">
              <w:rPr>
                <w:rFonts w:eastAsia="Times New Roman"/>
                <w:bCs/>
                <w:color w:val="000000"/>
                <w:sz w:val="24"/>
                <w:lang w:val="es-GT"/>
              </w:rPr>
              <w:t xml:space="preserve"> </w:t>
            </w:r>
            <w:r w:rsidRPr="00150AAA">
              <w:rPr>
                <w:rFonts w:eastAsia="Times New Roman"/>
                <w:bCs/>
                <w:color w:val="000000"/>
                <w:sz w:val="24"/>
                <w:lang w:val="es-GT"/>
              </w:rPr>
              <w:t xml:space="preserve">Metas de </w:t>
            </w:r>
            <w:r w:rsidR="000F7C55">
              <w:rPr>
                <w:rFonts w:eastAsia="Times New Roman"/>
                <w:bCs/>
                <w:color w:val="000000"/>
                <w:sz w:val="24"/>
                <w:lang w:val="es-GT"/>
              </w:rPr>
              <w:t>R</w:t>
            </w:r>
            <w:r w:rsidRPr="00150AAA">
              <w:rPr>
                <w:rFonts w:eastAsia="Times New Roman"/>
                <w:bCs/>
                <w:color w:val="000000"/>
                <w:sz w:val="24"/>
                <w:lang w:val="es-GT"/>
              </w:rPr>
              <w:t xml:space="preserve">ecaudación y </w:t>
            </w:r>
            <w:r w:rsidR="000F7C55">
              <w:rPr>
                <w:rFonts w:eastAsia="Times New Roman"/>
                <w:bCs/>
                <w:color w:val="000000"/>
                <w:sz w:val="24"/>
                <w:lang w:val="es-GT"/>
              </w:rPr>
              <w:t>C</w:t>
            </w:r>
            <w:r w:rsidRPr="00150AAA">
              <w:rPr>
                <w:rFonts w:eastAsia="Times New Roman"/>
                <w:bCs/>
                <w:color w:val="000000"/>
                <w:sz w:val="24"/>
                <w:lang w:val="es-GT"/>
              </w:rPr>
              <w:t xml:space="preserve">arga </w:t>
            </w:r>
            <w:r w:rsidR="000F7C55">
              <w:rPr>
                <w:rFonts w:eastAsia="Times New Roman"/>
                <w:bCs/>
                <w:color w:val="000000"/>
                <w:sz w:val="24"/>
                <w:lang w:val="es-GT"/>
              </w:rPr>
              <w:t>T</w:t>
            </w:r>
            <w:r w:rsidRPr="00150AAA">
              <w:rPr>
                <w:rFonts w:eastAsia="Times New Roman"/>
                <w:bCs/>
                <w:color w:val="000000"/>
                <w:sz w:val="24"/>
                <w:lang w:val="es-GT"/>
              </w:rPr>
              <w:t>ributaria</w:t>
            </w:r>
          </w:p>
        </w:tc>
        <w:tc>
          <w:tcPr>
            <w:tcW w:w="740" w:type="pct"/>
          </w:tcPr>
          <w:p w:rsidR="004F0ED4" w:rsidRPr="00150AAA" w:rsidRDefault="009446DD" w:rsidP="00F525FA">
            <w:pPr>
              <w:jc w:val="center"/>
              <w:rPr>
                <w:rFonts w:eastAsia="Times New Roman"/>
                <w:color w:val="000000"/>
                <w:sz w:val="24"/>
                <w:lang w:val="es-GT"/>
              </w:rPr>
            </w:pPr>
            <w:r w:rsidRPr="00150AAA">
              <w:rPr>
                <w:rFonts w:eastAsia="Times New Roman"/>
                <w:color w:val="000000"/>
                <w:sz w:val="24"/>
                <w:lang w:val="es-GT"/>
              </w:rPr>
              <w:t>1</w:t>
            </w:r>
            <w:r w:rsidR="00F525FA">
              <w:rPr>
                <w:rFonts w:eastAsia="Times New Roman"/>
                <w:color w:val="000000"/>
                <w:sz w:val="24"/>
                <w:lang w:val="es-GT"/>
              </w:rPr>
              <w:t>5</w:t>
            </w:r>
          </w:p>
        </w:tc>
      </w:tr>
      <w:tr w:rsidR="00370462" w:rsidRPr="00150AAA" w:rsidTr="00150AAA">
        <w:tc>
          <w:tcPr>
            <w:tcW w:w="4260" w:type="pct"/>
            <w:tcBorders>
              <w:top w:val="nil"/>
              <w:left w:val="nil"/>
              <w:bottom w:val="nil"/>
              <w:right w:val="single" w:sz="8" w:space="0" w:color="F79646"/>
            </w:tcBorders>
            <w:shd w:val="clear" w:color="auto" w:fill="FFFFFF"/>
          </w:tcPr>
          <w:p w:rsidR="009E3387" w:rsidRPr="00150AAA" w:rsidRDefault="000F7C55" w:rsidP="000F7C55">
            <w:pPr>
              <w:ind w:left="708"/>
              <w:rPr>
                <w:rFonts w:eastAsia="Times New Roman"/>
                <w:bCs/>
                <w:color w:val="000000"/>
                <w:sz w:val="24"/>
                <w:lang w:val="es-GT"/>
              </w:rPr>
            </w:pPr>
            <w:r>
              <w:rPr>
                <w:rFonts w:eastAsia="Times New Roman"/>
                <w:bCs/>
                <w:color w:val="000000"/>
                <w:sz w:val="24"/>
                <w:lang w:val="es-GT"/>
              </w:rPr>
              <w:t>4.3</w:t>
            </w:r>
            <w:r w:rsidR="00490DFB" w:rsidRPr="00150AAA">
              <w:rPr>
                <w:rFonts w:eastAsia="Times New Roman"/>
                <w:bCs/>
                <w:color w:val="000000"/>
                <w:sz w:val="24"/>
                <w:lang w:val="es-GT"/>
              </w:rPr>
              <w:t xml:space="preserve"> Techos Indicativos de </w:t>
            </w:r>
            <w:r>
              <w:rPr>
                <w:rFonts w:eastAsia="Times New Roman"/>
                <w:bCs/>
                <w:color w:val="000000"/>
                <w:sz w:val="24"/>
                <w:lang w:val="es-GT"/>
              </w:rPr>
              <w:t>G</w:t>
            </w:r>
            <w:r w:rsidR="00490DFB" w:rsidRPr="00150AAA">
              <w:rPr>
                <w:rFonts w:eastAsia="Times New Roman"/>
                <w:bCs/>
                <w:color w:val="000000"/>
                <w:sz w:val="24"/>
                <w:lang w:val="es-GT"/>
              </w:rPr>
              <w:t>asto</w:t>
            </w:r>
          </w:p>
        </w:tc>
        <w:tc>
          <w:tcPr>
            <w:tcW w:w="740" w:type="pct"/>
            <w:tcBorders>
              <w:top w:val="nil"/>
              <w:left w:val="nil"/>
              <w:bottom w:val="nil"/>
            </w:tcBorders>
            <w:shd w:val="clear" w:color="auto" w:fill="FDE4D0"/>
          </w:tcPr>
          <w:p w:rsidR="009E3387" w:rsidRPr="00150AAA" w:rsidRDefault="009446DD" w:rsidP="00150AAA">
            <w:pPr>
              <w:jc w:val="center"/>
              <w:rPr>
                <w:rFonts w:eastAsia="Times New Roman"/>
                <w:color w:val="000000"/>
                <w:sz w:val="24"/>
                <w:lang w:val="es-GT"/>
              </w:rPr>
            </w:pPr>
            <w:r w:rsidRPr="00150AAA">
              <w:rPr>
                <w:rFonts w:eastAsia="Times New Roman"/>
                <w:color w:val="000000"/>
                <w:sz w:val="24"/>
                <w:lang w:val="es-GT"/>
              </w:rPr>
              <w:t>1</w:t>
            </w:r>
            <w:r w:rsidR="00F525FA">
              <w:rPr>
                <w:rFonts w:eastAsia="Times New Roman"/>
                <w:color w:val="000000"/>
                <w:sz w:val="24"/>
                <w:lang w:val="es-GT"/>
              </w:rPr>
              <w:t>5</w:t>
            </w:r>
          </w:p>
        </w:tc>
      </w:tr>
      <w:tr w:rsidR="00DE23F2" w:rsidRPr="00150AAA" w:rsidTr="00150AAA">
        <w:tc>
          <w:tcPr>
            <w:tcW w:w="4260" w:type="pct"/>
            <w:tcBorders>
              <w:top w:val="nil"/>
              <w:left w:val="nil"/>
              <w:bottom w:val="nil"/>
              <w:right w:val="single" w:sz="8" w:space="0" w:color="F79646"/>
            </w:tcBorders>
            <w:shd w:val="clear" w:color="auto" w:fill="FFFFFF"/>
          </w:tcPr>
          <w:p w:rsidR="00DE23F2" w:rsidRDefault="00DE23F2" w:rsidP="000F7C55">
            <w:pPr>
              <w:ind w:left="708"/>
              <w:rPr>
                <w:rFonts w:eastAsia="Times New Roman"/>
                <w:bCs/>
                <w:color w:val="000000"/>
                <w:sz w:val="24"/>
                <w:lang w:val="es-GT"/>
              </w:rPr>
            </w:pPr>
            <w:r>
              <w:rPr>
                <w:rFonts w:eastAsia="Times New Roman"/>
                <w:bCs/>
                <w:color w:val="000000"/>
                <w:sz w:val="24"/>
                <w:lang w:val="es-GT"/>
              </w:rPr>
              <w:t>Glosario</w:t>
            </w:r>
          </w:p>
        </w:tc>
        <w:tc>
          <w:tcPr>
            <w:tcW w:w="740" w:type="pct"/>
            <w:tcBorders>
              <w:top w:val="nil"/>
              <w:left w:val="nil"/>
              <w:bottom w:val="nil"/>
            </w:tcBorders>
            <w:shd w:val="clear" w:color="auto" w:fill="FDE4D0"/>
          </w:tcPr>
          <w:p w:rsidR="00DE23F2" w:rsidRPr="00150AAA" w:rsidRDefault="00F525FA" w:rsidP="00150AAA">
            <w:pPr>
              <w:jc w:val="center"/>
              <w:rPr>
                <w:rFonts w:eastAsia="Times New Roman"/>
                <w:color w:val="000000"/>
                <w:sz w:val="24"/>
                <w:lang w:val="es-GT"/>
              </w:rPr>
            </w:pPr>
            <w:r>
              <w:rPr>
                <w:rFonts w:eastAsia="Times New Roman"/>
                <w:color w:val="000000"/>
                <w:sz w:val="24"/>
                <w:lang w:val="es-GT"/>
              </w:rPr>
              <w:t>18</w:t>
            </w:r>
          </w:p>
        </w:tc>
      </w:tr>
      <w:tr w:rsidR="001A08F7" w:rsidRPr="00150AAA" w:rsidTr="00150AAA">
        <w:tc>
          <w:tcPr>
            <w:tcW w:w="4260" w:type="pct"/>
            <w:tcBorders>
              <w:top w:val="nil"/>
              <w:left w:val="nil"/>
              <w:bottom w:val="nil"/>
              <w:right w:val="single" w:sz="8" w:space="0" w:color="F79646"/>
            </w:tcBorders>
            <w:shd w:val="clear" w:color="auto" w:fill="FFFFFF"/>
          </w:tcPr>
          <w:p w:rsidR="001A08F7" w:rsidRDefault="001A08F7" w:rsidP="001A08F7">
            <w:pPr>
              <w:spacing w:after="0"/>
              <w:ind w:left="708"/>
              <w:rPr>
                <w:rFonts w:eastAsia="Times New Roman"/>
                <w:bCs/>
                <w:color w:val="000000"/>
                <w:sz w:val="24"/>
                <w:lang w:val="es-GT"/>
              </w:rPr>
            </w:pPr>
            <w:r>
              <w:rPr>
                <w:rFonts w:eastAsia="Times New Roman"/>
                <w:bCs/>
                <w:color w:val="000000"/>
                <w:sz w:val="24"/>
                <w:lang w:val="es-GT"/>
              </w:rPr>
              <w:t>Anexo</w:t>
            </w:r>
            <w:r w:rsidRPr="001A08F7">
              <w:rPr>
                <w:rFonts w:eastAsia="Times New Roman"/>
                <w:bCs/>
                <w:color w:val="000000"/>
                <w:sz w:val="24"/>
                <w:lang w:val="es-GT"/>
              </w:rPr>
              <w:t xml:space="preserve">: </w:t>
            </w:r>
          </w:p>
          <w:p w:rsidR="001A08F7" w:rsidRPr="001A08F7" w:rsidRDefault="001A08F7" w:rsidP="001A08F7">
            <w:pPr>
              <w:spacing w:after="0"/>
              <w:ind w:left="708"/>
              <w:rPr>
                <w:rFonts w:eastAsia="Times New Roman"/>
                <w:bCs/>
                <w:color w:val="000000"/>
                <w:lang w:eastAsia="es-ES"/>
              </w:rPr>
            </w:pPr>
            <w:r w:rsidRPr="00AD2C25">
              <w:rPr>
                <w:rFonts w:eastAsia="Times New Roman"/>
                <w:bCs/>
                <w:color w:val="000000"/>
                <w:lang w:eastAsia="es-ES"/>
              </w:rPr>
              <w:t>Estimación de los Ingresos Multianual 2020-2024, Gobierno Central</w:t>
            </w:r>
          </w:p>
        </w:tc>
        <w:tc>
          <w:tcPr>
            <w:tcW w:w="740" w:type="pct"/>
            <w:tcBorders>
              <w:top w:val="nil"/>
              <w:left w:val="nil"/>
              <w:bottom w:val="nil"/>
            </w:tcBorders>
            <w:shd w:val="clear" w:color="auto" w:fill="FDE4D0"/>
          </w:tcPr>
          <w:p w:rsidR="001A08F7" w:rsidRDefault="001A08F7" w:rsidP="001A08F7">
            <w:pPr>
              <w:jc w:val="center"/>
              <w:rPr>
                <w:rFonts w:eastAsia="Times New Roman"/>
                <w:color w:val="000000"/>
                <w:sz w:val="24"/>
                <w:lang w:val="es-GT"/>
              </w:rPr>
            </w:pPr>
            <w:r>
              <w:rPr>
                <w:rFonts w:eastAsia="Times New Roman"/>
                <w:color w:val="000000"/>
                <w:sz w:val="24"/>
                <w:lang w:val="es-GT"/>
              </w:rPr>
              <w:t>20</w:t>
            </w:r>
          </w:p>
        </w:tc>
      </w:tr>
    </w:tbl>
    <w:p w:rsidR="00C374DB" w:rsidRPr="00DB0548" w:rsidRDefault="00DB0548" w:rsidP="003E0978">
      <w:pPr>
        <w:jc w:val="center"/>
        <w:outlineLvl w:val="0"/>
        <w:rPr>
          <w:b/>
          <w:sz w:val="32"/>
          <w:lang w:val="es-GT"/>
        </w:rPr>
      </w:pPr>
      <w:r>
        <w:rPr>
          <w:b/>
          <w:sz w:val="48"/>
          <w:lang w:val="es-GT"/>
        </w:rPr>
        <w:br w:type="page"/>
      </w:r>
      <w:r w:rsidR="00873DE6" w:rsidRPr="00DB0548">
        <w:rPr>
          <w:b/>
          <w:sz w:val="32"/>
          <w:lang w:val="es-GT"/>
        </w:rPr>
        <w:lastRenderedPageBreak/>
        <w:t>Introducción</w:t>
      </w:r>
    </w:p>
    <w:p w:rsidR="00A246C4" w:rsidRDefault="00BA71CC" w:rsidP="00BA71CC">
      <w:pPr>
        <w:jc w:val="both"/>
        <w:rPr>
          <w:sz w:val="24"/>
          <w:szCs w:val="24"/>
        </w:rPr>
      </w:pPr>
      <w:r>
        <w:rPr>
          <w:sz w:val="24"/>
          <w:szCs w:val="24"/>
        </w:rPr>
        <w:t>E</w:t>
      </w:r>
      <w:r w:rsidRPr="00184E28">
        <w:rPr>
          <w:sz w:val="24"/>
          <w:szCs w:val="24"/>
        </w:rPr>
        <w:t xml:space="preserve">l presente </w:t>
      </w:r>
      <w:r>
        <w:rPr>
          <w:sz w:val="24"/>
          <w:szCs w:val="24"/>
        </w:rPr>
        <w:t xml:space="preserve">documento presupuestario denominado </w:t>
      </w:r>
      <w:r>
        <w:rPr>
          <w:b/>
          <w:sz w:val="24"/>
          <w:szCs w:val="24"/>
        </w:rPr>
        <w:t>“Informe Preliminar 2020</w:t>
      </w:r>
      <w:r w:rsidRPr="00184E28">
        <w:rPr>
          <w:b/>
          <w:sz w:val="24"/>
          <w:szCs w:val="24"/>
        </w:rPr>
        <w:t>-202</w:t>
      </w:r>
      <w:r>
        <w:rPr>
          <w:b/>
          <w:sz w:val="24"/>
          <w:szCs w:val="24"/>
        </w:rPr>
        <w:t>4</w:t>
      </w:r>
      <w:r w:rsidRPr="00184E28">
        <w:rPr>
          <w:b/>
          <w:sz w:val="24"/>
          <w:szCs w:val="24"/>
        </w:rPr>
        <w:t>”</w:t>
      </w:r>
      <w:r w:rsidRPr="00184E28">
        <w:rPr>
          <w:sz w:val="24"/>
          <w:szCs w:val="24"/>
        </w:rPr>
        <w:t xml:space="preserve"> persigue informar a los ciudadanos, de forma general</w:t>
      </w:r>
      <w:r>
        <w:rPr>
          <w:sz w:val="24"/>
          <w:szCs w:val="24"/>
        </w:rPr>
        <w:t xml:space="preserve"> y oportuna</w:t>
      </w:r>
      <w:r w:rsidRPr="00184E28">
        <w:rPr>
          <w:sz w:val="24"/>
          <w:szCs w:val="24"/>
        </w:rPr>
        <w:t xml:space="preserve">, acerca </w:t>
      </w:r>
      <w:r w:rsidR="00A6365A">
        <w:rPr>
          <w:sz w:val="24"/>
          <w:szCs w:val="24"/>
        </w:rPr>
        <w:t xml:space="preserve">de </w:t>
      </w:r>
      <w:r w:rsidR="001A554E">
        <w:rPr>
          <w:sz w:val="24"/>
          <w:szCs w:val="24"/>
        </w:rPr>
        <w:t>las</w:t>
      </w:r>
      <w:r w:rsidR="00A6365A">
        <w:rPr>
          <w:sz w:val="24"/>
          <w:szCs w:val="24"/>
        </w:rPr>
        <w:t xml:space="preserve"> proyecciones macroeconómicas y fiscales, así como de las </w:t>
      </w:r>
      <w:r w:rsidRPr="00184E28">
        <w:rPr>
          <w:sz w:val="24"/>
          <w:szCs w:val="24"/>
        </w:rPr>
        <w:t xml:space="preserve">estimaciones </w:t>
      </w:r>
      <w:r w:rsidR="00A6365A">
        <w:rPr>
          <w:sz w:val="24"/>
          <w:szCs w:val="24"/>
        </w:rPr>
        <w:t xml:space="preserve">preliminares </w:t>
      </w:r>
      <w:r w:rsidRPr="00184E28">
        <w:rPr>
          <w:sz w:val="24"/>
          <w:szCs w:val="24"/>
        </w:rPr>
        <w:t xml:space="preserve">de ingresos y egresos </w:t>
      </w:r>
      <w:r w:rsidR="001A554E">
        <w:rPr>
          <w:sz w:val="24"/>
          <w:szCs w:val="24"/>
        </w:rPr>
        <w:t xml:space="preserve">sobre las que se sustenta </w:t>
      </w:r>
      <w:r w:rsidRPr="00184E28">
        <w:rPr>
          <w:sz w:val="24"/>
          <w:szCs w:val="24"/>
        </w:rPr>
        <w:t>el Proyecto de Presupuesto 20</w:t>
      </w:r>
      <w:r>
        <w:rPr>
          <w:sz w:val="24"/>
          <w:szCs w:val="24"/>
        </w:rPr>
        <w:t>20</w:t>
      </w:r>
      <w:r w:rsidRPr="00184E28">
        <w:rPr>
          <w:sz w:val="24"/>
          <w:szCs w:val="24"/>
        </w:rPr>
        <w:t xml:space="preserve"> que será sometido a consideración del Congreso de la República,</w:t>
      </w:r>
      <w:r w:rsidR="00434689">
        <w:rPr>
          <w:sz w:val="24"/>
          <w:szCs w:val="24"/>
        </w:rPr>
        <w:t xml:space="preserve"> a</w:t>
      </w:r>
      <w:r w:rsidRPr="00184E28">
        <w:rPr>
          <w:sz w:val="24"/>
          <w:szCs w:val="24"/>
        </w:rPr>
        <w:t xml:space="preserve"> </w:t>
      </w:r>
      <w:r>
        <w:rPr>
          <w:sz w:val="24"/>
          <w:szCs w:val="24"/>
        </w:rPr>
        <w:t xml:space="preserve">más tardar </w:t>
      </w:r>
      <w:r w:rsidRPr="00184E28">
        <w:rPr>
          <w:sz w:val="24"/>
          <w:szCs w:val="24"/>
        </w:rPr>
        <w:t>el 2 de septiembre</w:t>
      </w:r>
      <w:r>
        <w:rPr>
          <w:sz w:val="24"/>
          <w:szCs w:val="24"/>
        </w:rPr>
        <w:t xml:space="preserve"> de 2019</w:t>
      </w:r>
      <w:r w:rsidRPr="00184E28">
        <w:rPr>
          <w:sz w:val="24"/>
          <w:szCs w:val="24"/>
        </w:rPr>
        <w:t>.</w:t>
      </w:r>
    </w:p>
    <w:p w:rsidR="00BA71CC" w:rsidRDefault="00A246C4" w:rsidP="00BA71CC">
      <w:pPr>
        <w:jc w:val="both"/>
        <w:rPr>
          <w:sz w:val="24"/>
          <w:szCs w:val="24"/>
        </w:rPr>
      </w:pPr>
      <w:r>
        <w:rPr>
          <w:sz w:val="24"/>
          <w:szCs w:val="24"/>
        </w:rPr>
        <w:t>Con dicho documento se persigue</w:t>
      </w:r>
      <w:r w:rsidR="00434689">
        <w:rPr>
          <w:sz w:val="24"/>
          <w:szCs w:val="24"/>
        </w:rPr>
        <w:t xml:space="preserve"> brindar información general que anime el interés sobre el análisis y discusión de la propuesta de presupuesto del Organismo Ejecutivo.</w:t>
      </w:r>
    </w:p>
    <w:p w:rsidR="00803499" w:rsidRDefault="00434689" w:rsidP="00184E28">
      <w:pPr>
        <w:jc w:val="both"/>
        <w:rPr>
          <w:sz w:val="24"/>
          <w:szCs w:val="24"/>
          <w:lang w:val="es-GT"/>
        </w:rPr>
      </w:pPr>
      <w:r>
        <w:rPr>
          <w:sz w:val="24"/>
          <w:szCs w:val="24"/>
          <w:lang w:val="es-GT"/>
        </w:rPr>
        <w:t>Por ello e</w:t>
      </w:r>
      <w:r w:rsidR="0094643B" w:rsidRPr="00184E28">
        <w:rPr>
          <w:sz w:val="24"/>
          <w:szCs w:val="24"/>
          <w:lang w:val="es-GT"/>
        </w:rPr>
        <w:t>l Ministerio de Finanzas Públicas</w:t>
      </w:r>
      <w:r w:rsidR="00AB71D6">
        <w:rPr>
          <w:sz w:val="24"/>
          <w:szCs w:val="24"/>
          <w:lang w:val="es-GT"/>
        </w:rPr>
        <w:t xml:space="preserve"> (MINFIN)</w:t>
      </w:r>
      <w:r w:rsidR="0094643B" w:rsidRPr="00184E28">
        <w:rPr>
          <w:sz w:val="24"/>
          <w:szCs w:val="24"/>
          <w:lang w:val="es-GT"/>
        </w:rPr>
        <w:t xml:space="preserve"> </w:t>
      </w:r>
      <w:r w:rsidR="00BA71CC">
        <w:rPr>
          <w:sz w:val="24"/>
          <w:szCs w:val="24"/>
          <w:lang w:val="es-GT"/>
        </w:rPr>
        <w:t>e</w:t>
      </w:r>
      <w:r w:rsidR="00BA71CC" w:rsidRPr="00184E28">
        <w:rPr>
          <w:sz w:val="24"/>
          <w:szCs w:val="24"/>
          <w:lang w:val="es-GT"/>
        </w:rPr>
        <w:t>n el marco de la transparencia fiscal</w:t>
      </w:r>
      <w:r w:rsidR="00BA71CC">
        <w:rPr>
          <w:sz w:val="24"/>
          <w:szCs w:val="24"/>
          <w:lang w:val="es-GT"/>
        </w:rPr>
        <w:t xml:space="preserve"> y de gobierno abierto</w:t>
      </w:r>
      <w:r w:rsidR="00110545">
        <w:rPr>
          <w:sz w:val="24"/>
          <w:szCs w:val="24"/>
          <w:lang w:val="es-GT"/>
        </w:rPr>
        <w:t>,</w:t>
      </w:r>
      <w:r w:rsidR="00BA71CC" w:rsidRPr="00184E28">
        <w:rPr>
          <w:sz w:val="24"/>
          <w:szCs w:val="24"/>
          <w:lang w:val="es-GT"/>
        </w:rPr>
        <w:t xml:space="preserve"> </w:t>
      </w:r>
      <w:r w:rsidR="0094643B" w:rsidRPr="00184E28">
        <w:rPr>
          <w:sz w:val="24"/>
          <w:szCs w:val="24"/>
          <w:lang w:val="es-GT"/>
        </w:rPr>
        <w:t xml:space="preserve">impulsa </w:t>
      </w:r>
      <w:r w:rsidR="002811EB" w:rsidRPr="00184E28">
        <w:rPr>
          <w:sz w:val="24"/>
          <w:szCs w:val="24"/>
          <w:lang w:val="es-GT"/>
        </w:rPr>
        <w:t xml:space="preserve">el proceso de formulación presupuestaria </w:t>
      </w:r>
      <w:r w:rsidR="00BA71CC">
        <w:rPr>
          <w:sz w:val="24"/>
          <w:szCs w:val="24"/>
          <w:lang w:val="es-GT"/>
        </w:rPr>
        <w:t xml:space="preserve">multianual </w:t>
      </w:r>
      <w:r w:rsidR="00DD02F3" w:rsidRPr="00184E28">
        <w:rPr>
          <w:sz w:val="24"/>
          <w:szCs w:val="24"/>
          <w:lang w:val="es-GT"/>
        </w:rPr>
        <w:t>20</w:t>
      </w:r>
      <w:r w:rsidR="002A09C5">
        <w:rPr>
          <w:sz w:val="24"/>
          <w:szCs w:val="24"/>
          <w:lang w:val="es-GT"/>
        </w:rPr>
        <w:t>20</w:t>
      </w:r>
      <w:r w:rsidR="00DD02F3" w:rsidRPr="00184E28">
        <w:rPr>
          <w:sz w:val="24"/>
          <w:szCs w:val="24"/>
          <w:lang w:val="es-GT"/>
        </w:rPr>
        <w:t>-202</w:t>
      </w:r>
      <w:r w:rsidR="002A09C5">
        <w:rPr>
          <w:sz w:val="24"/>
          <w:szCs w:val="24"/>
          <w:lang w:val="es-GT"/>
        </w:rPr>
        <w:t>4</w:t>
      </w:r>
      <w:r w:rsidR="00DD02F3" w:rsidRPr="00184E28">
        <w:rPr>
          <w:sz w:val="24"/>
          <w:szCs w:val="24"/>
          <w:lang w:val="es-GT"/>
        </w:rPr>
        <w:t xml:space="preserve">, </w:t>
      </w:r>
      <w:r w:rsidR="00BA71CC">
        <w:rPr>
          <w:sz w:val="24"/>
          <w:szCs w:val="24"/>
          <w:lang w:val="es-GT"/>
        </w:rPr>
        <w:t>con acciones metodológicas y participativas con las que se que facilit</w:t>
      </w:r>
      <w:r w:rsidR="00AD5C1F">
        <w:rPr>
          <w:sz w:val="24"/>
          <w:szCs w:val="24"/>
          <w:lang w:val="es-GT"/>
        </w:rPr>
        <w:t>a</w:t>
      </w:r>
      <w:r w:rsidR="00BA71CC">
        <w:rPr>
          <w:sz w:val="24"/>
          <w:szCs w:val="24"/>
          <w:lang w:val="es-GT"/>
        </w:rPr>
        <w:t xml:space="preserve"> la programación de los recursos </w:t>
      </w:r>
      <w:r w:rsidR="00F3553E">
        <w:rPr>
          <w:sz w:val="24"/>
          <w:szCs w:val="24"/>
          <w:lang w:val="es-GT"/>
        </w:rPr>
        <w:t xml:space="preserve">a fin brindar </w:t>
      </w:r>
      <w:r w:rsidR="00BA71CC">
        <w:rPr>
          <w:sz w:val="24"/>
          <w:szCs w:val="24"/>
          <w:lang w:val="es-GT"/>
        </w:rPr>
        <w:t xml:space="preserve">la prestación de los servicios públicos </w:t>
      </w:r>
      <w:r w:rsidR="00110545">
        <w:rPr>
          <w:sz w:val="24"/>
          <w:szCs w:val="24"/>
          <w:lang w:val="es-GT"/>
        </w:rPr>
        <w:t>en beneficio de</w:t>
      </w:r>
      <w:r w:rsidR="00BA71CC">
        <w:rPr>
          <w:sz w:val="24"/>
          <w:szCs w:val="24"/>
          <w:lang w:val="es-GT"/>
        </w:rPr>
        <w:t xml:space="preserve"> los ciudadanos.</w:t>
      </w:r>
    </w:p>
    <w:p w:rsidR="00434689" w:rsidRDefault="00434689" w:rsidP="00184E28">
      <w:pPr>
        <w:jc w:val="both"/>
        <w:rPr>
          <w:sz w:val="24"/>
          <w:szCs w:val="24"/>
          <w:lang w:val="es-GT"/>
        </w:rPr>
      </w:pPr>
      <w:r w:rsidRPr="00434689">
        <w:rPr>
          <w:sz w:val="24"/>
          <w:szCs w:val="24"/>
          <w:lang w:val="es-GT"/>
        </w:rPr>
        <w:t>Asimismo, como parte fundamental del Informe Preliminar 2020-2024, se presentan los Techos Indicativos de Presupuesto</w:t>
      </w:r>
      <w:r w:rsidR="00235F04">
        <w:rPr>
          <w:sz w:val="24"/>
          <w:szCs w:val="24"/>
          <w:lang w:val="es-GT"/>
        </w:rPr>
        <w:t>,</w:t>
      </w:r>
      <w:r w:rsidRPr="00434689">
        <w:rPr>
          <w:sz w:val="24"/>
          <w:szCs w:val="24"/>
          <w:lang w:val="es-GT"/>
        </w:rPr>
        <w:t xml:space="preserve"> los cuales han sido definidos en un contexto de estabilidad macroeconómica, recuperación de la capacidad fiscal y financiera del Estado, fortalecimiento de la funcionalidad institucional, así como en un marco de sostenibilidad del endeudamiento público.</w:t>
      </w:r>
    </w:p>
    <w:p w:rsidR="009C1095" w:rsidRDefault="00803499" w:rsidP="009C1095">
      <w:pPr>
        <w:jc w:val="both"/>
        <w:rPr>
          <w:sz w:val="24"/>
          <w:lang w:val="es-GT"/>
        </w:rPr>
      </w:pPr>
      <w:r>
        <w:rPr>
          <w:sz w:val="24"/>
          <w:szCs w:val="24"/>
          <w:lang w:val="es-GT"/>
        </w:rPr>
        <w:t>El mecanismo utilizado para facilitar la participación ciudadana ha</w:t>
      </w:r>
      <w:r w:rsidR="00791045">
        <w:rPr>
          <w:sz w:val="24"/>
          <w:szCs w:val="24"/>
          <w:lang w:val="es-GT"/>
        </w:rPr>
        <w:t>n</w:t>
      </w:r>
      <w:r>
        <w:rPr>
          <w:sz w:val="24"/>
          <w:szCs w:val="24"/>
          <w:lang w:val="es-GT"/>
        </w:rPr>
        <w:t xml:space="preserve"> sido los </w:t>
      </w:r>
      <w:r w:rsidR="007C01C6" w:rsidRPr="00184E28">
        <w:rPr>
          <w:sz w:val="24"/>
          <w:szCs w:val="24"/>
        </w:rPr>
        <w:t>T</w:t>
      </w:r>
      <w:r w:rsidR="009C1095">
        <w:rPr>
          <w:sz w:val="24"/>
          <w:szCs w:val="24"/>
        </w:rPr>
        <w:t xml:space="preserve">alleres de Presupuesto Abierto en los que el </w:t>
      </w:r>
      <w:r w:rsidR="009C1095">
        <w:rPr>
          <w:sz w:val="24"/>
          <w:lang w:val="es-GT"/>
        </w:rPr>
        <w:t xml:space="preserve">MINFIN puso a disposición de las personas, distintos medios de difusión de la información que las instituciones plantearon como parte de </w:t>
      </w:r>
      <w:r w:rsidR="001A554E">
        <w:rPr>
          <w:sz w:val="24"/>
          <w:lang w:val="es-GT"/>
        </w:rPr>
        <w:t>los</w:t>
      </w:r>
      <w:r w:rsidR="009C1095">
        <w:rPr>
          <w:sz w:val="24"/>
          <w:lang w:val="es-GT"/>
        </w:rPr>
        <w:t xml:space="preserve"> requerimientos a incluir en </w:t>
      </w:r>
      <w:r w:rsidR="001A554E">
        <w:rPr>
          <w:sz w:val="24"/>
          <w:lang w:val="es-GT"/>
        </w:rPr>
        <w:t>sus</w:t>
      </w:r>
      <w:r w:rsidR="009C1095">
        <w:rPr>
          <w:sz w:val="24"/>
          <w:lang w:val="es-GT"/>
        </w:rPr>
        <w:t xml:space="preserve"> anteproyectos de presupuesto.  Con esta nueva forma de accionar y de impulso de la transparencia fiscal, se facilitó a las personas:</w:t>
      </w:r>
    </w:p>
    <w:p w:rsidR="009C1095" w:rsidRDefault="009C1095" w:rsidP="009C1095">
      <w:pPr>
        <w:numPr>
          <w:ilvl w:val="0"/>
          <w:numId w:val="2"/>
        </w:numPr>
        <w:spacing w:after="0"/>
        <w:jc w:val="both"/>
        <w:rPr>
          <w:sz w:val="24"/>
          <w:lang w:val="es-GT"/>
        </w:rPr>
      </w:pPr>
      <w:r>
        <w:rPr>
          <w:sz w:val="24"/>
          <w:lang w:val="es-GT"/>
        </w:rPr>
        <w:t xml:space="preserve">Acompañar en vivo los </w:t>
      </w:r>
      <w:r w:rsidR="00DD715A">
        <w:rPr>
          <w:sz w:val="24"/>
          <w:lang w:val="es-GT"/>
        </w:rPr>
        <w:t>Talleres de Presupuesto Abierto,</w:t>
      </w:r>
    </w:p>
    <w:p w:rsidR="00121ADD" w:rsidRDefault="009C1095" w:rsidP="009C1095">
      <w:pPr>
        <w:numPr>
          <w:ilvl w:val="0"/>
          <w:numId w:val="2"/>
        </w:numPr>
        <w:spacing w:after="0"/>
        <w:jc w:val="both"/>
        <w:rPr>
          <w:sz w:val="24"/>
          <w:lang w:val="es-GT"/>
        </w:rPr>
      </w:pPr>
      <w:r>
        <w:rPr>
          <w:sz w:val="24"/>
          <w:lang w:val="es-GT"/>
        </w:rPr>
        <w:t>Participar a través de</w:t>
      </w:r>
      <w:r w:rsidR="00791045">
        <w:rPr>
          <w:sz w:val="24"/>
          <w:lang w:val="es-GT"/>
        </w:rPr>
        <w:t xml:space="preserve"> la formulación</w:t>
      </w:r>
      <w:r>
        <w:rPr>
          <w:sz w:val="24"/>
          <w:lang w:val="es-GT"/>
        </w:rPr>
        <w:t xml:space="preserve"> de preguntas y comentarios</w:t>
      </w:r>
      <w:r w:rsidR="00DD715A">
        <w:rPr>
          <w:sz w:val="24"/>
          <w:lang w:val="es-GT"/>
        </w:rPr>
        <w:t>,</w:t>
      </w:r>
    </w:p>
    <w:p w:rsidR="009C1095" w:rsidRDefault="009C1095" w:rsidP="009C1095">
      <w:pPr>
        <w:numPr>
          <w:ilvl w:val="0"/>
          <w:numId w:val="2"/>
        </w:numPr>
        <w:spacing w:after="0"/>
        <w:jc w:val="both"/>
        <w:rPr>
          <w:sz w:val="24"/>
          <w:lang w:val="es-GT"/>
        </w:rPr>
      </w:pPr>
      <w:r>
        <w:rPr>
          <w:sz w:val="24"/>
          <w:lang w:val="es-GT"/>
        </w:rPr>
        <w:t>Obtener las presentaciones a través de su descarga electrónica como medio de consulta.</w:t>
      </w:r>
    </w:p>
    <w:p w:rsidR="00F72218" w:rsidRDefault="00F72218" w:rsidP="00F72218">
      <w:pPr>
        <w:spacing w:after="0"/>
        <w:jc w:val="both"/>
        <w:rPr>
          <w:sz w:val="24"/>
          <w:lang w:val="es-GT"/>
        </w:rPr>
      </w:pPr>
    </w:p>
    <w:p w:rsidR="00235F04" w:rsidRDefault="00163FDD" w:rsidP="00235F04">
      <w:pPr>
        <w:spacing w:after="0"/>
        <w:jc w:val="both"/>
        <w:rPr>
          <w:sz w:val="24"/>
          <w:lang w:val="es-GT"/>
        </w:rPr>
      </w:pPr>
      <w:r>
        <w:rPr>
          <w:sz w:val="24"/>
          <w:lang w:val="es-GT"/>
        </w:rPr>
        <w:t>Posteriormente, a</w:t>
      </w:r>
      <w:r w:rsidR="00235F04">
        <w:rPr>
          <w:sz w:val="24"/>
          <w:lang w:val="es-GT"/>
        </w:rPr>
        <w:t xml:space="preserve">l ser enviado </w:t>
      </w:r>
      <w:r>
        <w:rPr>
          <w:sz w:val="24"/>
          <w:lang w:val="es-GT"/>
        </w:rPr>
        <w:t xml:space="preserve">el “Proyecto de Presupuesto General de Ingresos y Egresos del Estado para el Ejercicio Fiscal 2020” </w:t>
      </w:r>
      <w:r w:rsidR="00235F04">
        <w:rPr>
          <w:sz w:val="24"/>
          <w:lang w:val="es-GT"/>
        </w:rPr>
        <w:t>por parte del Organismo Ejecutivo, al Congreso de la República de Guatemala, éste podrá ser consultado en el vínculo</w:t>
      </w:r>
      <w:r w:rsidR="00F72218">
        <w:rPr>
          <w:sz w:val="24"/>
          <w:lang w:val="es-GT"/>
        </w:rPr>
        <w:t xml:space="preserve"> siguiente</w:t>
      </w:r>
      <w:r w:rsidR="00235F04">
        <w:rPr>
          <w:sz w:val="24"/>
          <w:lang w:val="es-GT"/>
        </w:rPr>
        <w:t>:</w:t>
      </w:r>
    </w:p>
    <w:p w:rsidR="00434689" w:rsidRDefault="00235F04" w:rsidP="00235F04">
      <w:pPr>
        <w:numPr>
          <w:ilvl w:val="0"/>
          <w:numId w:val="2"/>
        </w:numPr>
        <w:jc w:val="both"/>
        <w:rPr>
          <w:sz w:val="24"/>
          <w:szCs w:val="24"/>
          <w:lang w:val="es-GT"/>
        </w:rPr>
      </w:pPr>
      <w:hyperlink r:id="rId11" w:history="1">
        <w:r w:rsidRPr="00F94F29">
          <w:rPr>
            <w:rStyle w:val="Hipervnculo"/>
            <w:sz w:val="24"/>
            <w:lang w:val="es-GT"/>
          </w:rPr>
          <w:t>http://www.minfin.gob.gt/index.php/proye</w:t>
        </w:r>
        <w:r w:rsidRPr="00F94F29">
          <w:rPr>
            <w:rStyle w:val="Hipervnculo"/>
            <w:sz w:val="24"/>
            <w:lang w:val="es-GT"/>
          </w:rPr>
          <w:t>c</w:t>
        </w:r>
        <w:r w:rsidRPr="00F94F29">
          <w:rPr>
            <w:rStyle w:val="Hipervnculo"/>
            <w:sz w:val="24"/>
            <w:lang w:val="es-GT"/>
          </w:rPr>
          <w:t>to-de-presupuesto</w:t>
        </w:r>
      </w:hyperlink>
    </w:p>
    <w:p w:rsidR="00873DE6" w:rsidRPr="00FC1A96" w:rsidRDefault="004D5358" w:rsidP="00526AD7">
      <w:pPr>
        <w:numPr>
          <w:ilvl w:val="0"/>
          <w:numId w:val="12"/>
        </w:numPr>
        <w:rPr>
          <w:b/>
          <w:sz w:val="24"/>
          <w:lang w:val="es-GT"/>
        </w:rPr>
      </w:pPr>
      <w:r>
        <w:rPr>
          <w:sz w:val="24"/>
          <w:lang w:val="es-GT"/>
        </w:rPr>
        <w:br w:type="page"/>
      </w:r>
      <w:r w:rsidR="006001E3" w:rsidRPr="001A0F78">
        <w:rPr>
          <w:b/>
          <w:sz w:val="28"/>
          <w:lang w:val="es-GT"/>
        </w:rPr>
        <w:lastRenderedPageBreak/>
        <w:t>Principales supuestos en el contexto de mediano plazo</w:t>
      </w:r>
    </w:p>
    <w:p w:rsidR="00F05445" w:rsidRPr="00974AD8" w:rsidRDefault="00F05445" w:rsidP="00F05445">
      <w:pPr>
        <w:spacing w:after="0"/>
        <w:jc w:val="both"/>
        <w:rPr>
          <w:sz w:val="24"/>
          <w:szCs w:val="24"/>
          <w:lang w:val="es-GT"/>
        </w:rPr>
      </w:pPr>
      <w:r w:rsidRPr="00974AD8">
        <w:rPr>
          <w:sz w:val="24"/>
          <w:szCs w:val="24"/>
          <w:lang w:val="es-GT"/>
        </w:rPr>
        <w:t>Las estimaciones del presupuesto multianual 20</w:t>
      </w:r>
      <w:r w:rsidR="00E06D57">
        <w:rPr>
          <w:sz w:val="24"/>
          <w:szCs w:val="24"/>
          <w:lang w:val="es-GT"/>
        </w:rPr>
        <w:t>20</w:t>
      </w:r>
      <w:r w:rsidRPr="00974AD8">
        <w:rPr>
          <w:sz w:val="24"/>
          <w:szCs w:val="24"/>
          <w:lang w:val="es-GT"/>
        </w:rPr>
        <w:t>-202</w:t>
      </w:r>
      <w:r w:rsidR="00E06D57">
        <w:rPr>
          <w:sz w:val="24"/>
          <w:szCs w:val="24"/>
          <w:lang w:val="es-GT"/>
        </w:rPr>
        <w:t>4</w:t>
      </w:r>
      <w:r w:rsidRPr="00974AD8">
        <w:rPr>
          <w:sz w:val="24"/>
          <w:szCs w:val="24"/>
          <w:lang w:val="es-GT"/>
        </w:rPr>
        <w:t xml:space="preserve"> como instrumento técnico de política estratégica </w:t>
      </w:r>
      <w:r w:rsidR="007C01C6">
        <w:rPr>
          <w:sz w:val="24"/>
          <w:szCs w:val="24"/>
          <w:lang w:val="es-GT"/>
        </w:rPr>
        <w:t xml:space="preserve">de mediano plazo </w:t>
      </w:r>
      <w:r w:rsidRPr="00974AD8">
        <w:rPr>
          <w:sz w:val="24"/>
          <w:szCs w:val="24"/>
          <w:lang w:val="es-GT"/>
        </w:rPr>
        <w:t>para optimizar el uso de los recursos públicos, se desarrolla bajo los supuestos siguientes:</w:t>
      </w:r>
    </w:p>
    <w:p w:rsidR="00F05445" w:rsidRDefault="00F05445" w:rsidP="00B017C8">
      <w:pPr>
        <w:spacing w:after="0" w:line="240" w:lineRule="auto"/>
        <w:jc w:val="both"/>
        <w:rPr>
          <w:b/>
          <w:sz w:val="24"/>
          <w:lang w:val="es-GT"/>
        </w:rPr>
      </w:pPr>
    </w:p>
    <w:p w:rsidR="0052729F" w:rsidRDefault="0052729F" w:rsidP="00B017C8">
      <w:pPr>
        <w:spacing w:after="0" w:line="240" w:lineRule="auto"/>
        <w:jc w:val="both"/>
        <w:rPr>
          <w:b/>
          <w:sz w:val="24"/>
          <w:lang w:val="es-GT"/>
        </w:rPr>
      </w:pPr>
    </w:p>
    <w:p w:rsidR="004E0B73" w:rsidRPr="004E0B73" w:rsidRDefault="004E0B73" w:rsidP="00B017C8">
      <w:pPr>
        <w:spacing w:after="0" w:line="240" w:lineRule="auto"/>
        <w:jc w:val="both"/>
        <w:rPr>
          <w:b/>
          <w:sz w:val="24"/>
          <w:lang w:val="es-GT"/>
        </w:rPr>
      </w:pPr>
      <w:r w:rsidRPr="004E0B73">
        <w:rPr>
          <w:b/>
          <w:sz w:val="24"/>
          <w:lang w:val="es-GT"/>
        </w:rPr>
        <w:t>A nivel global</w:t>
      </w:r>
    </w:p>
    <w:p w:rsidR="004E0B73" w:rsidRPr="00974AD8" w:rsidRDefault="004E0B73" w:rsidP="00974AD8">
      <w:pPr>
        <w:spacing w:after="0"/>
        <w:jc w:val="both"/>
        <w:rPr>
          <w:sz w:val="24"/>
          <w:szCs w:val="24"/>
          <w:lang w:val="es-GT"/>
        </w:rPr>
      </w:pPr>
    </w:p>
    <w:p w:rsidR="000B36D6" w:rsidRPr="00001546" w:rsidRDefault="007C01C6" w:rsidP="00754C6B">
      <w:pPr>
        <w:numPr>
          <w:ilvl w:val="0"/>
          <w:numId w:val="9"/>
        </w:numPr>
        <w:spacing w:after="0"/>
        <w:jc w:val="both"/>
        <w:rPr>
          <w:sz w:val="24"/>
          <w:szCs w:val="24"/>
          <w:lang w:val="es-GT"/>
        </w:rPr>
      </w:pPr>
      <w:proofErr w:type="gramStart"/>
      <w:r w:rsidRPr="00001546">
        <w:rPr>
          <w:sz w:val="24"/>
          <w:szCs w:val="24"/>
          <w:lang w:val="es-GT"/>
        </w:rPr>
        <w:t>D</w:t>
      </w:r>
      <w:r w:rsidR="000B36D6" w:rsidRPr="00001546">
        <w:rPr>
          <w:sz w:val="24"/>
          <w:szCs w:val="24"/>
          <w:lang w:val="es-GT"/>
        </w:rPr>
        <w:t>e</w:t>
      </w:r>
      <w:r w:rsidR="000B36D6" w:rsidRPr="00974AD8">
        <w:rPr>
          <w:sz w:val="24"/>
          <w:szCs w:val="24"/>
          <w:lang w:val="es-GT"/>
        </w:rPr>
        <w:t xml:space="preserve"> acuerdo a</w:t>
      </w:r>
      <w:proofErr w:type="gramEnd"/>
      <w:r w:rsidR="000B36D6" w:rsidRPr="00974AD8">
        <w:rPr>
          <w:sz w:val="24"/>
          <w:szCs w:val="24"/>
          <w:lang w:val="es-GT"/>
        </w:rPr>
        <w:t xml:space="preserve"> las proyecciones del Fondo Monetario Internacional (FMI)</w:t>
      </w:r>
      <w:r w:rsidR="00263157" w:rsidRPr="00974AD8">
        <w:rPr>
          <w:sz w:val="24"/>
          <w:szCs w:val="24"/>
          <w:lang w:val="es-GT"/>
        </w:rPr>
        <w:t>,</w:t>
      </w:r>
      <w:r w:rsidR="000B36D6" w:rsidRPr="00974AD8">
        <w:rPr>
          <w:sz w:val="24"/>
          <w:szCs w:val="24"/>
          <w:lang w:val="es-GT"/>
        </w:rPr>
        <w:t xml:space="preserve"> </w:t>
      </w:r>
      <w:r w:rsidR="00215D3F">
        <w:rPr>
          <w:sz w:val="24"/>
          <w:szCs w:val="24"/>
          <w:lang w:val="es-GT"/>
        </w:rPr>
        <w:t>las perspectivas de la economía mundial</w:t>
      </w:r>
      <w:r w:rsidR="00CD13F2">
        <w:rPr>
          <w:sz w:val="24"/>
          <w:szCs w:val="24"/>
          <w:lang w:val="es-GT"/>
        </w:rPr>
        <w:t>,</w:t>
      </w:r>
      <w:r w:rsidR="009E79AC">
        <w:rPr>
          <w:sz w:val="24"/>
          <w:szCs w:val="24"/>
          <w:lang w:val="es-GT"/>
        </w:rPr>
        <w:t xml:space="preserve"> según </w:t>
      </w:r>
      <w:r w:rsidR="00F058D0">
        <w:rPr>
          <w:sz w:val="24"/>
          <w:szCs w:val="24"/>
          <w:lang w:val="es-GT"/>
        </w:rPr>
        <w:t xml:space="preserve">indica en </w:t>
      </w:r>
      <w:r w:rsidR="00001546">
        <w:rPr>
          <w:sz w:val="24"/>
          <w:szCs w:val="24"/>
          <w:lang w:val="es-GT"/>
        </w:rPr>
        <w:t>el Boletín “</w:t>
      </w:r>
      <w:r w:rsidR="00215D3F" w:rsidRPr="00001546">
        <w:rPr>
          <w:sz w:val="24"/>
          <w:szCs w:val="24"/>
          <w:lang w:val="es-GT"/>
        </w:rPr>
        <w:t>Al Día</w:t>
      </w:r>
      <w:r w:rsidR="00001546" w:rsidRPr="00001546">
        <w:rPr>
          <w:sz w:val="24"/>
          <w:szCs w:val="24"/>
          <w:lang w:val="es-GT"/>
        </w:rPr>
        <w:t>”</w:t>
      </w:r>
      <w:r w:rsidR="00215D3F" w:rsidRPr="00001546">
        <w:rPr>
          <w:sz w:val="24"/>
          <w:szCs w:val="24"/>
          <w:lang w:val="es-GT"/>
        </w:rPr>
        <w:t xml:space="preserve"> a Julio </w:t>
      </w:r>
      <w:r w:rsidR="00CD13F2" w:rsidRPr="00001546">
        <w:rPr>
          <w:sz w:val="24"/>
          <w:szCs w:val="24"/>
          <w:lang w:val="es-GT"/>
        </w:rPr>
        <w:t xml:space="preserve">de </w:t>
      </w:r>
      <w:r w:rsidR="00215D3F" w:rsidRPr="00001546">
        <w:rPr>
          <w:sz w:val="24"/>
          <w:szCs w:val="24"/>
          <w:lang w:val="es-GT"/>
        </w:rPr>
        <w:t>201</w:t>
      </w:r>
      <w:r w:rsidR="000F4E79">
        <w:rPr>
          <w:sz w:val="24"/>
          <w:szCs w:val="24"/>
          <w:lang w:val="es-GT"/>
        </w:rPr>
        <w:t>9</w:t>
      </w:r>
      <w:r w:rsidR="00215D3F" w:rsidRPr="00001546">
        <w:rPr>
          <w:sz w:val="24"/>
          <w:szCs w:val="24"/>
          <w:lang w:val="es-GT"/>
        </w:rPr>
        <w:t>, el crecimiento mundial 201</w:t>
      </w:r>
      <w:r w:rsidR="000F4E79">
        <w:rPr>
          <w:sz w:val="24"/>
          <w:szCs w:val="24"/>
          <w:lang w:val="es-GT"/>
        </w:rPr>
        <w:t>9</w:t>
      </w:r>
      <w:r w:rsidR="00215D3F" w:rsidRPr="00001546">
        <w:rPr>
          <w:sz w:val="24"/>
          <w:szCs w:val="24"/>
          <w:lang w:val="es-GT"/>
        </w:rPr>
        <w:t xml:space="preserve"> </w:t>
      </w:r>
      <w:r w:rsidR="000F4E79">
        <w:rPr>
          <w:sz w:val="24"/>
          <w:szCs w:val="24"/>
          <w:lang w:val="es-GT"/>
        </w:rPr>
        <w:t xml:space="preserve">se pronostica en 3.2% </w:t>
      </w:r>
      <w:r w:rsidR="00215D3F" w:rsidRPr="00001546">
        <w:rPr>
          <w:sz w:val="24"/>
          <w:szCs w:val="24"/>
          <w:lang w:val="es-GT"/>
        </w:rPr>
        <w:t xml:space="preserve">y </w:t>
      </w:r>
      <w:r w:rsidR="000F4E79">
        <w:rPr>
          <w:sz w:val="24"/>
          <w:szCs w:val="24"/>
          <w:lang w:val="es-GT"/>
        </w:rPr>
        <w:t xml:space="preserve">para </w:t>
      </w:r>
      <w:r w:rsidR="00215D3F" w:rsidRPr="00001546">
        <w:rPr>
          <w:sz w:val="24"/>
          <w:szCs w:val="24"/>
          <w:lang w:val="es-GT"/>
        </w:rPr>
        <w:t>20</w:t>
      </w:r>
      <w:r w:rsidR="000F4E79">
        <w:rPr>
          <w:sz w:val="24"/>
          <w:szCs w:val="24"/>
          <w:lang w:val="es-GT"/>
        </w:rPr>
        <w:t>20</w:t>
      </w:r>
      <w:r w:rsidR="00215D3F" w:rsidRPr="00001546">
        <w:rPr>
          <w:sz w:val="24"/>
          <w:szCs w:val="24"/>
          <w:lang w:val="es-GT"/>
        </w:rPr>
        <w:t xml:space="preserve"> se proyecta en 3.</w:t>
      </w:r>
      <w:r w:rsidR="000F4E79">
        <w:rPr>
          <w:sz w:val="24"/>
          <w:szCs w:val="24"/>
          <w:lang w:val="es-GT"/>
        </w:rPr>
        <w:t>5%</w:t>
      </w:r>
      <w:r w:rsidR="00215D3F" w:rsidRPr="00001546">
        <w:rPr>
          <w:sz w:val="24"/>
          <w:szCs w:val="24"/>
          <w:lang w:val="es-GT"/>
        </w:rPr>
        <w:t>.</w:t>
      </w:r>
      <w:r w:rsidR="00B677DC">
        <w:rPr>
          <w:sz w:val="24"/>
          <w:szCs w:val="24"/>
          <w:lang w:val="es-GT"/>
        </w:rPr>
        <w:t xml:space="preserve">  Esto porque existe una agudización de la incertidumbre, mayores tensiones comerciales y una baja en la inversión.</w:t>
      </w:r>
    </w:p>
    <w:p w:rsidR="002349FD" w:rsidRPr="00974AD8" w:rsidRDefault="002349FD" w:rsidP="00754C6B">
      <w:pPr>
        <w:numPr>
          <w:ilvl w:val="0"/>
          <w:numId w:val="9"/>
        </w:numPr>
        <w:spacing w:after="0"/>
        <w:jc w:val="both"/>
        <w:rPr>
          <w:sz w:val="24"/>
          <w:szCs w:val="24"/>
          <w:lang w:val="es-GT"/>
        </w:rPr>
      </w:pPr>
      <w:r w:rsidRPr="00974AD8">
        <w:rPr>
          <w:sz w:val="24"/>
          <w:szCs w:val="24"/>
          <w:lang w:val="es-GT"/>
        </w:rPr>
        <w:t xml:space="preserve">Se estima que el crecimiento de las economías avanzadas </w:t>
      </w:r>
      <w:r w:rsidR="00091D23">
        <w:rPr>
          <w:sz w:val="24"/>
          <w:szCs w:val="24"/>
          <w:lang w:val="es-GT"/>
        </w:rPr>
        <w:t xml:space="preserve">podría </w:t>
      </w:r>
      <w:r w:rsidR="00714037">
        <w:rPr>
          <w:sz w:val="24"/>
          <w:szCs w:val="24"/>
          <w:lang w:val="es-GT"/>
        </w:rPr>
        <w:t xml:space="preserve">alcanzar </w:t>
      </w:r>
      <w:r w:rsidR="00091D23">
        <w:rPr>
          <w:sz w:val="24"/>
          <w:szCs w:val="24"/>
          <w:lang w:val="es-GT"/>
        </w:rPr>
        <w:t xml:space="preserve">en el mismo período </w:t>
      </w:r>
      <w:r w:rsidR="001167CB">
        <w:rPr>
          <w:sz w:val="24"/>
          <w:szCs w:val="24"/>
          <w:lang w:val="es-GT"/>
        </w:rPr>
        <w:t>1.9</w:t>
      </w:r>
      <w:r w:rsidR="00AD20F5">
        <w:rPr>
          <w:sz w:val="24"/>
          <w:szCs w:val="24"/>
          <w:lang w:val="es-GT"/>
        </w:rPr>
        <w:t>% y 1.</w:t>
      </w:r>
      <w:r w:rsidR="001167CB">
        <w:rPr>
          <w:sz w:val="24"/>
          <w:szCs w:val="24"/>
          <w:lang w:val="es-GT"/>
        </w:rPr>
        <w:t>7</w:t>
      </w:r>
      <w:r w:rsidR="00AD20F5">
        <w:rPr>
          <w:sz w:val="24"/>
          <w:szCs w:val="24"/>
          <w:lang w:val="es-GT"/>
        </w:rPr>
        <w:t>%</w:t>
      </w:r>
      <w:r w:rsidR="00091D23">
        <w:rPr>
          <w:sz w:val="24"/>
          <w:szCs w:val="24"/>
          <w:lang w:val="es-GT"/>
        </w:rPr>
        <w:t xml:space="preserve">, </w:t>
      </w:r>
      <w:r w:rsidR="001167CB">
        <w:rPr>
          <w:sz w:val="24"/>
          <w:szCs w:val="24"/>
          <w:lang w:val="es-GT"/>
        </w:rPr>
        <w:t>principalmente por las revisiones al alza de la economía de Estados Unidos. En el grupo de las ec</w:t>
      </w:r>
      <w:r w:rsidRPr="00974AD8">
        <w:rPr>
          <w:sz w:val="24"/>
          <w:szCs w:val="24"/>
          <w:lang w:val="es-GT"/>
        </w:rPr>
        <w:t xml:space="preserve">onomías </w:t>
      </w:r>
      <w:r w:rsidR="001167CB">
        <w:rPr>
          <w:sz w:val="24"/>
          <w:szCs w:val="24"/>
          <w:lang w:val="es-GT"/>
        </w:rPr>
        <w:t xml:space="preserve">de mercado </w:t>
      </w:r>
      <w:r w:rsidRPr="00974AD8">
        <w:rPr>
          <w:sz w:val="24"/>
          <w:szCs w:val="24"/>
          <w:lang w:val="es-GT"/>
        </w:rPr>
        <w:t xml:space="preserve">emergentes y en desarrollo </w:t>
      </w:r>
      <w:r w:rsidR="001167CB">
        <w:rPr>
          <w:sz w:val="24"/>
          <w:szCs w:val="24"/>
          <w:lang w:val="es-GT"/>
        </w:rPr>
        <w:t>se considera un crecimiento de 4.1% en 2019 y 4.7% en 2020.</w:t>
      </w:r>
      <w:r w:rsidR="00A11894">
        <w:rPr>
          <w:sz w:val="24"/>
          <w:szCs w:val="24"/>
          <w:lang w:val="es-GT"/>
        </w:rPr>
        <w:t xml:space="preserve">  Estas proyecciones a la baja surgen principalmente por tensiones comerciales, tecnológicas</w:t>
      </w:r>
      <w:r w:rsidR="00B677DC">
        <w:rPr>
          <w:sz w:val="24"/>
          <w:szCs w:val="24"/>
          <w:lang w:val="es-GT"/>
        </w:rPr>
        <w:t xml:space="preserve"> y</w:t>
      </w:r>
      <w:r w:rsidR="00A11894">
        <w:rPr>
          <w:sz w:val="24"/>
          <w:szCs w:val="24"/>
          <w:lang w:val="es-GT"/>
        </w:rPr>
        <w:t xml:space="preserve"> geopolíticas.</w:t>
      </w:r>
    </w:p>
    <w:p w:rsidR="00395E4D" w:rsidRPr="00974AD8" w:rsidRDefault="007C01C6" w:rsidP="00754C6B">
      <w:pPr>
        <w:numPr>
          <w:ilvl w:val="0"/>
          <w:numId w:val="9"/>
        </w:numPr>
        <w:spacing w:after="0"/>
        <w:jc w:val="both"/>
        <w:rPr>
          <w:sz w:val="24"/>
          <w:szCs w:val="24"/>
          <w:lang w:val="es-GT"/>
        </w:rPr>
      </w:pPr>
      <w:r>
        <w:rPr>
          <w:sz w:val="24"/>
          <w:szCs w:val="24"/>
          <w:lang w:val="es-GT"/>
        </w:rPr>
        <w:t>E</w:t>
      </w:r>
      <w:r w:rsidR="00395E4D" w:rsidRPr="00974AD8">
        <w:rPr>
          <w:sz w:val="24"/>
          <w:szCs w:val="24"/>
          <w:lang w:val="es-GT"/>
        </w:rPr>
        <w:t xml:space="preserve">l Banco Mundial </w:t>
      </w:r>
      <w:r w:rsidR="00F025F5" w:rsidRPr="00974AD8">
        <w:rPr>
          <w:sz w:val="24"/>
          <w:szCs w:val="24"/>
          <w:lang w:val="es-GT"/>
        </w:rPr>
        <w:t>estima que en 201</w:t>
      </w:r>
      <w:r w:rsidR="00791C24">
        <w:rPr>
          <w:sz w:val="24"/>
          <w:szCs w:val="24"/>
          <w:lang w:val="es-GT"/>
        </w:rPr>
        <w:t>9</w:t>
      </w:r>
      <w:r w:rsidR="00F025F5" w:rsidRPr="00974AD8">
        <w:rPr>
          <w:sz w:val="24"/>
          <w:szCs w:val="24"/>
          <w:lang w:val="es-GT"/>
        </w:rPr>
        <w:t xml:space="preserve"> </w:t>
      </w:r>
      <w:r w:rsidR="00791C24">
        <w:rPr>
          <w:sz w:val="24"/>
          <w:szCs w:val="24"/>
          <w:lang w:val="es-GT"/>
        </w:rPr>
        <w:t>y 2020</w:t>
      </w:r>
      <w:r w:rsidR="009E77F8">
        <w:rPr>
          <w:sz w:val="24"/>
          <w:szCs w:val="24"/>
          <w:lang w:val="es-GT"/>
        </w:rPr>
        <w:t xml:space="preserve">, </w:t>
      </w:r>
      <w:r w:rsidR="00F025F5" w:rsidRPr="00974AD8">
        <w:rPr>
          <w:sz w:val="24"/>
          <w:szCs w:val="24"/>
          <w:lang w:val="es-GT"/>
        </w:rPr>
        <w:t xml:space="preserve">el crecimiento mundial podría </w:t>
      </w:r>
      <w:r w:rsidR="00376F3C">
        <w:rPr>
          <w:sz w:val="24"/>
          <w:szCs w:val="24"/>
          <w:lang w:val="es-GT"/>
        </w:rPr>
        <w:t>reducirse, según las previsiones, a 2.6</w:t>
      </w:r>
      <w:r w:rsidR="009E77F8">
        <w:rPr>
          <w:sz w:val="24"/>
          <w:szCs w:val="24"/>
          <w:lang w:val="es-GT"/>
        </w:rPr>
        <w:t xml:space="preserve">% y </w:t>
      </w:r>
      <w:r w:rsidR="00376F3C">
        <w:rPr>
          <w:sz w:val="24"/>
          <w:szCs w:val="24"/>
          <w:lang w:val="es-GT"/>
        </w:rPr>
        <w:t>2.7</w:t>
      </w:r>
      <w:r w:rsidR="009E77F8">
        <w:rPr>
          <w:sz w:val="24"/>
          <w:szCs w:val="24"/>
          <w:lang w:val="es-GT"/>
        </w:rPr>
        <w:t xml:space="preserve">% respectivamente. Las economías avanzadas </w:t>
      </w:r>
      <w:r w:rsidR="00000A29">
        <w:rPr>
          <w:sz w:val="24"/>
          <w:szCs w:val="24"/>
          <w:lang w:val="es-GT"/>
        </w:rPr>
        <w:t>podrían alcanzar un crecimiento de 1.7% y 1.5% respectivamente, principalmente por la disminución de las exportaciones y la inversión.</w:t>
      </w:r>
      <w:r w:rsidR="00A0717B">
        <w:rPr>
          <w:sz w:val="24"/>
          <w:szCs w:val="24"/>
          <w:lang w:val="es-GT"/>
        </w:rPr>
        <w:t xml:space="preserve"> </w:t>
      </w:r>
      <w:r w:rsidR="00000A29">
        <w:rPr>
          <w:sz w:val="24"/>
          <w:szCs w:val="24"/>
          <w:lang w:val="es-GT"/>
        </w:rPr>
        <w:t>Y</w:t>
      </w:r>
      <w:r w:rsidR="009E77F8">
        <w:rPr>
          <w:sz w:val="24"/>
          <w:szCs w:val="24"/>
          <w:lang w:val="es-GT"/>
        </w:rPr>
        <w:t xml:space="preserve"> las economías emergentes y en desarrollo 4.</w:t>
      </w:r>
      <w:r w:rsidR="00000A29">
        <w:rPr>
          <w:sz w:val="24"/>
          <w:szCs w:val="24"/>
          <w:lang w:val="es-GT"/>
        </w:rPr>
        <w:t xml:space="preserve">0 </w:t>
      </w:r>
      <w:r w:rsidR="009E77F8">
        <w:rPr>
          <w:sz w:val="24"/>
          <w:szCs w:val="24"/>
          <w:lang w:val="es-GT"/>
        </w:rPr>
        <w:t>% y 4.</w:t>
      </w:r>
      <w:r w:rsidR="00000A29">
        <w:rPr>
          <w:sz w:val="24"/>
          <w:szCs w:val="24"/>
          <w:lang w:val="es-GT"/>
        </w:rPr>
        <w:t>6</w:t>
      </w:r>
      <w:r w:rsidR="009E77F8">
        <w:rPr>
          <w:sz w:val="24"/>
          <w:szCs w:val="24"/>
          <w:lang w:val="es-GT"/>
        </w:rPr>
        <w:t>%</w:t>
      </w:r>
      <w:r w:rsidR="00641FA4">
        <w:rPr>
          <w:sz w:val="24"/>
          <w:szCs w:val="24"/>
          <w:lang w:val="es-GT"/>
        </w:rPr>
        <w:t>,</w:t>
      </w:r>
      <w:r w:rsidR="00A0717B">
        <w:rPr>
          <w:sz w:val="24"/>
          <w:szCs w:val="24"/>
          <w:lang w:val="es-GT"/>
        </w:rPr>
        <w:t xml:space="preserve"> </w:t>
      </w:r>
      <w:r w:rsidR="00000A29">
        <w:rPr>
          <w:sz w:val="24"/>
          <w:szCs w:val="24"/>
          <w:lang w:val="es-GT"/>
        </w:rPr>
        <w:t>las cuales sufren tensiones financieras y políticas.</w:t>
      </w:r>
    </w:p>
    <w:p w:rsidR="000B36D6" w:rsidRPr="003E4B2C" w:rsidRDefault="003E508E" w:rsidP="00754C6B">
      <w:pPr>
        <w:numPr>
          <w:ilvl w:val="0"/>
          <w:numId w:val="9"/>
        </w:numPr>
        <w:spacing w:after="0"/>
        <w:jc w:val="both"/>
        <w:rPr>
          <w:sz w:val="24"/>
          <w:szCs w:val="24"/>
          <w:lang w:val="es-GT"/>
        </w:rPr>
      </w:pPr>
      <w:r w:rsidRPr="00974AD8">
        <w:rPr>
          <w:sz w:val="24"/>
          <w:szCs w:val="24"/>
          <w:lang w:val="es-GT"/>
        </w:rPr>
        <w:t xml:space="preserve">Para el caso de Guatemala, </w:t>
      </w:r>
      <w:r w:rsidR="0043061D" w:rsidRPr="00974AD8">
        <w:rPr>
          <w:sz w:val="24"/>
          <w:szCs w:val="24"/>
          <w:lang w:val="es-GT"/>
        </w:rPr>
        <w:t xml:space="preserve">de </w:t>
      </w:r>
      <w:r w:rsidR="0043061D" w:rsidRPr="003E4B2C">
        <w:rPr>
          <w:sz w:val="24"/>
          <w:szCs w:val="24"/>
          <w:lang w:val="es-GT"/>
        </w:rPr>
        <w:t xml:space="preserve">acuerdo a las </w:t>
      </w:r>
      <w:r w:rsidRPr="003E4B2C">
        <w:rPr>
          <w:sz w:val="24"/>
          <w:szCs w:val="24"/>
          <w:lang w:val="es-GT"/>
        </w:rPr>
        <w:t xml:space="preserve">proyecciones de crecimiento </w:t>
      </w:r>
      <w:r w:rsidR="00A51AA5">
        <w:rPr>
          <w:sz w:val="24"/>
          <w:szCs w:val="24"/>
          <w:lang w:val="es-GT"/>
        </w:rPr>
        <w:t xml:space="preserve">preliminares </w:t>
      </w:r>
      <w:r w:rsidR="0043061D" w:rsidRPr="003E4B2C">
        <w:rPr>
          <w:sz w:val="24"/>
          <w:szCs w:val="24"/>
          <w:lang w:val="es-GT"/>
        </w:rPr>
        <w:t>d</w:t>
      </w:r>
      <w:r w:rsidR="00265EC8" w:rsidRPr="003E4B2C">
        <w:rPr>
          <w:sz w:val="24"/>
          <w:szCs w:val="24"/>
          <w:lang w:val="es-GT"/>
        </w:rPr>
        <w:t>el Banco de Guatemala, para 201</w:t>
      </w:r>
      <w:r w:rsidR="00E51478">
        <w:rPr>
          <w:sz w:val="24"/>
          <w:szCs w:val="24"/>
          <w:lang w:val="es-GT"/>
        </w:rPr>
        <w:t>9 y 2020</w:t>
      </w:r>
      <w:r w:rsidR="0043061D" w:rsidRPr="003E4B2C">
        <w:rPr>
          <w:sz w:val="24"/>
          <w:szCs w:val="24"/>
          <w:lang w:val="es-GT"/>
        </w:rPr>
        <w:t xml:space="preserve"> </w:t>
      </w:r>
      <w:r w:rsidRPr="003E4B2C">
        <w:rPr>
          <w:sz w:val="24"/>
          <w:szCs w:val="24"/>
          <w:lang w:val="es-GT"/>
        </w:rPr>
        <w:t xml:space="preserve">se </w:t>
      </w:r>
      <w:r w:rsidR="0043061D" w:rsidRPr="003E4B2C">
        <w:rPr>
          <w:sz w:val="24"/>
          <w:szCs w:val="24"/>
          <w:lang w:val="es-GT"/>
        </w:rPr>
        <w:t xml:space="preserve">espera un crecimiento </w:t>
      </w:r>
      <w:r w:rsidR="00265EC8" w:rsidRPr="003E4B2C">
        <w:rPr>
          <w:sz w:val="24"/>
          <w:szCs w:val="24"/>
          <w:lang w:val="es-GT"/>
        </w:rPr>
        <w:t>entre 3.0% y 3.8%, y 3.</w:t>
      </w:r>
      <w:r w:rsidR="00E51478">
        <w:rPr>
          <w:sz w:val="24"/>
          <w:szCs w:val="24"/>
          <w:lang w:val="es-GT"/>
        </w:rPr>
        <w:t>0</w:t>
      </w:r>
      <w:r w:rsidR="00265EC8" w:rsidRPr="003E4B2C">
        <w:rPr>
          <w:sz w:val="24"/>
          <w:szCs w:val="24"/>
          <w:lang w:val="es-GT"/>
        </w:rPr>
        <w:t>% y 4.</w:t>
      </w:r>
      <w:r w:rsidR="00E51478">
        <w:rPr>
          <w:sz w:val="24"/>
          <w:szCs w:val="24"/>
          <w:lang w:val="es-GT"/>
        </w:rPr>
        <w:t>0</w:t>
      </w:r>
      <w:r w:rsidR="00CE63AB">
        <w:rPr>
          <w:sz w:val="24"/>
          <w:szCs w:val="24"/>
          <w:lang w:val="es-GT"/>
        </w:rPr>
        <w:t>%, respectivamente, toda vez que el comportamiento de algunos indicadores de corto plazo de la actividad económica tales como el índice mensual de la actividad económica, remesas familiares, crédito bancario al sector privado, ejecución del gasto público, e importaciones, muestran un dinamismo congruente con el crecimiento económico estimado para el período.</w:t>
      </w:r>
    </w:p>
    <w:p w:rsidR="000B36D6" w:rsidRDefault="000B36D6" w:rsidP="00754C6B">
      <w:pPr>
        <w:spacing w:after="0" w:line="240" w:lineRule="auto"/>
        <w:jc w:val="both"/>
        <w:rPr>
          <w:sz w:val="24"/>
          <w:lang w:val="es-GT"/>
        </w:rPr>
      </w:pPr>
    </w:p>
    <w:p w:rsidR="0052729F" w:rsidRDefault="0052729F" w:rsidP="00754C6B">
      <w:pPr>
        <w:spacing w:after="0" w:line="240" w:lineRule="auto"/>
        <w:jc w:val="both"/>
        <w:rPr>
          <w:sz w:val="24"/>
          <w:lang w:val="es-GT"/>
        </w:rPr>
      </w:pPr>
    </w:p>
    <w:p w:rsidR="000B36D6" w:rsidRPr="004E0B73" w:rsidRDefault="0052229C" w:rsidP="003E0978">
      <w:pPr>
        <w:jc w:val="both"/>
        <w:outlineLvl w:val="0"/>
        <w:rPr>
          <w:b/>
          <w:sz w:val="24"/>
          <w:lang w:val="es-MX"/>
        </w:rPr>
      </w:pPr>
      <w:r>
        <w:rPr>
          <w:b/>
          <w:sz w:val="24"/>
          <w:lang w:val="es-MX"/>
        </w:rPr>
        <w:t>A nivel específico</w:t>
      </w:r>
    </w:p>
    <w:p w:rsidR="00FF73C5" w:rsidRDefault="00FF73C5" w:rsidP="000319DB">
      <w:pPr>
        <w:pStyle w:val="Prrafodelista"/>
        <w:numPr>
          <w:ilvl w:val="0"/>
          <w:numId w:val="10"/>
        </w:numPr>
        <w:autoSpaceDE w:val="0"/>
        <w:autoSpaceDN w:val="0"/>
        <w:adjustRightInd w:val="0"/>
        <w:spacing w:after="200" w:line="276" w:lineRule="auto"/>
        <w:ind w:right="-21"/>
        <w:jc w:val="both"/>
        <w:rPr>
          <w:sz w:val="24"/>
          <w:szCs w:val="24"/>
        </w:rPr>
      </w:pPr>
      <w:r w:rsidRPr="00FF73C5">
        <w:rPr>
          <w:sz w:val="24"/>
          <w:szCs w:val="24"/>
          <w:lang w:val="es-ES"/>
        </w:rPr>
        <w:t>Coadyuvar con la estabilidad macroeconómica e impulsar el crecimiento a través de la inversión pública</w:t>
      </w:r>
      <w:r w:rsidR="00641FA4">
        <w:rPr>
          <w:sz w:val="24"/>
          <w:szCs w:val="24"/>
          <w:lang w:val="es-ES"/>
        </w:rPr>
        <w:t>.</w:t>
      </w:r>
    </w:p>
    <w:p w:rsidR="005F4463" w:rsidRPr="000319DB" w:rsidRDefault="005F4463" w:rsidP="000319DB">
      <w:pPr>
        <w:pStyle w:val="Prrafodelista"/>
        <w:numPr>
          <w:ilvl w:val="0"/>
          <w:numId w:val="10"/>
        </w:numPr>
        <w:autoSpaceDE w:val="0"/>
        <w:autoSpaceDN w:val="0"/>
        <w:adjustRightInd w:val="0"/>
        <w:spacing w:after="200" w:line="276" w:lineRule="auto"/>
        <w:ind w:right="-21"/>
        <w:jc w:val="both"/>
        <w:rPr>
          <w:sz w:val="24"/>
          <w:szCs w:val="24"/>
        </w:rPr>
      </w:pPr>
      <w:r>
        <w:rPr>
          <w:sz w:val="24"/>
          <w:szCs w:val="24"/>
        </w:rPr>
        <w:lastRenderedPageBreak/>
        <w:t>Se prevé que las principales variables macroeconómicas como la inflación, tasas de interés y tipo de cambio nominal, continuarán estables.</w:t>
      </w:r>
    </w:p>
    <w:p w:rsidR="006001E3" w:rsidRPr="00370462" w:rsidRDefault="000A560D" w:rsidP="0010668C">
      <w:pPr>
        <w:pStyle w:val="Prrafodelista"/>
        <w:numPr>
          <w:ilvl w:val="0"/>
          <w:numId w:val="10"/>
        </w:numPr>
        <w:autoSpaceDE w:val="0"/>
        <w:autoSpaceDN w:val="0"/>
        <w:adjustRightInd w:val="0"/>
        <w:spacing w:after="200" w:line="276" w:lineRule="auto"/>
        <w:ind w:right="-21"/>
        <w:jc w:val="both"/>
        <w:rPr>
          <w:sz w:val="24"/>
          <w:szCs w:val="24"/>
        </w:rPr>
      </w:pPr>
      <w:r w:rsidRPr="00370462">
        <w:rPr>
          <w:sz w:val="24"/>
          <w:szCs w:val="24"/>
        </w:rPr>
        <w:t>C</w:t>
      </w:r>
      <w:r w:rsidR="006001E3" w:rsidRPr="00370462">
        <w:rPr>
          <w:sz w:val="24"/>
          <w:szCs w:val="24"/>
        </w:rPr>
        <w:t xml:space="preserve">erteza presupuestaria y financiera </w:t>
      </w:r>
      <w:r w:rsidRPr="00370462">
        <w:rPr>
          <w:sz w:val="24"/>
          <w:szCs w:val="24"/>
        </w:rPr>
        <w:t xml:space="preserve">para que </w:t>
      </w:r>
      <w:r w:rsidR="006001E3" w:rsidRPr="00370462">
        <w:rPr>
          <w:sz w:val="24"/>
          <w:szCs w:val="24"/>
        </w:rPr>
        <w:t xml:space="preserve">las </w:t>
      </w:r>
      <w:r w:rsidR="001D5BBC">
        <w:rPr>
          <w:sz w:val="24"/>
          <w:szCs w:val="24"/>
        </w:rPr>
        <w:t>entidades</w:t>
      </w:r>
      <w:r w:rsidR="006001E3" w:rsidRPr="00370462">
        <w:rPr>
          <w:sz w:val="24"/>
          <w:szCs w:val="24"/>
        </w:rPr>
        <w:t xml:space="preserve"> de Gobierno</w:t>
      </w:r>
      <w:r w:rsidRPr="00370462">
        <w:rPr>
          <w:sz w:val="24"/>
          <w:szCs w:val="24"/>
        </w:rPr>
        <w:t xml:space="preserve"> alcancen sus objetivos, metas y resultados</w:t>
      </w:r>
      <w:r w:rsidR="00181173" w:rsidRPr="00370462">
        <w:rPr>
          <w:sz w:val="24"/>
          <w:szCs w:val="24"/>
        </w:rPr>
        <w:t>.</w:t>
      </w:r>
    </w:p>
    <w:p w:rsidR="006001E3" w:rsidRPr="00370462" w:rsidRDefault="009E37A3" w:rsidP="0010668C">
      <w:pPr>
        <w:pStyle w:val="Prrafodelista"/>
        <w:numPr>
          <w:ilvl w:val="0"/>
          <w:numId w:val="10"/>
        </w:numPr>
        <w:autoSpaceDE w:val="0"/>
        <w:autoSpaceDN w:val="0"/>
        <w:adjustRightInd w:val="0"/>
        <w:spacing w:after="200" w:line="276" w:lineRule="auto"/>
        <w:ind w:right="-21"/>
        <w:jc w:val="both"/>
        <w:rPr>
          <w:sz w:val="24"/>
          <w:szCs w:val="24"/>
        </w:rPr>
      </w:pPr>
      <w:r w:rsidRPr="00370462">
        <w:rPr>
          <w:sz w:val="24"/>
          <w:szCs w:val="24"/>
        </w:rPr>
        <w:t xml:space="preserve">Coherencia en </w:t>
      </w:r>
      <w:r w:rsidR="006001E3" w:rsidRPr="00370462">
        <w:rPr>
          <w:sz w:val="24"/>
          <w:szCs w:val="24"/>
        </w:rPr>
        <w:t xml:space="preserve">las </w:t>
      </w:r>
      <w:r w:rsidRPr="00370462">
        <w:rPr>
          <w:sz w:val="24"/>
          <w:szCs w:val="24"/>
        </w:rPr>
        <w:t xml:space="preserve">decisiones </w:t>
      </w:r>
      <w:r w:rsidR="006001E3" w:rsidRPr="00370462">
        <w:rPr>
          <w:sz w:val="24"/>
          <w:szCs w:val="24"/>
        </w:rPr>
        <w:t>de política y de gasto público sobre la base de la capacidad real de financiamiento por parte del Estado</w:t>
      </w:r>
      <w:r w:rsidR="00181173" w:rsidRPr="00370462">
        <w:rPr>
          <w:sz w:val="24"/>
          <w:szCs w:val="24"/>
        </w:rPr>
        <w:t>.</w:t>
      </w:r>
    </w:p>
    <w:p w:rsidR="006001E3" w:rsidRPr="00370462" w:rsidRDefault="00541209" w:rsidP="0010668C">
      <w:pPr>
        <w:pStyle w:val="Prrafodelista"/>
        <w:numPr>
          <w:ilvl w:val="0"/>
          <w:numId w:val="10"/>
        </w:numPr>
        <w:autoSpaceDE w:val="0"/>
        <w:autoSpaceDN w:val="0"/>
        <w:adjustRightInd w:val="0"/>
        <w:spacing w:after="200" w:line="276" w:lineRule="auto"/>
        <w:ind w:right="-21"/>
        <w:jc w:val="both"/>
        <w:rPr>
          <w:sz w:val="24"/>
          <w:szCs w:val="24"/>
        </w:rPr>
      </w:pPr>
      <w:r>
        <w:rPr>
          <w:sz w:val="24"/>
          <w:szCs w:val="24"/>
        </w:rPr>
        <w:t xml:space="preserve">Continuar con </w:t>
      </w:r>
      <w:r w:rsidR="006001E3" w:rsidRPr="00370462">
        <w:rPr>
          <w:sz w:val="24"/>
          <w:szCs w:val="24"/>
        </w:rPr>
        <w:t xml:space="preserve">la vinculación plan-presupuesto </w:t>
      </w:r>
      <w:r w:rsidR="009E37A3" w:rsidRPr="00370462">
        <w:rPr>
          <w:sz w:val="24"/>
          <w:szCs w:val="24"/>
        </w:rPr>
        <w:t>a lo largo del período, y</w:t>
      </w:r>
      <w:r w:rsidR="006001E3" w:rsidRPr="00370462">
        <w:rPr>
          <w:sz w:val="24"/>
          <w:szCs w:val="24"/>
        </w:rPr>
        <w:t xml:space="preserve"> centrar los esfuerzos de presupuestación y </w:t>
      </w:r>
      <w:r w:rsidR="009E37A3" w:rsidRPr="00370462">
        <w:rPr>
          <w:sz w:val="24"/>
          <w:szCs w:val="24"/>
        </w:rPr>
        <w:t xml:space="preserve">de </w:t>
      </w:r>
      <w:r w:rsidR="006001E3" w:rsidRPr="00370462">
        <w:rPr>
          <w:sz w:val="24"/>
          <w:szCs w:val="24"/>
        </w:rPr>
        <w:t xml:space="preserve">gestión </w:t>
      </w:r>
      <w:r w:rsidR="009E37A3" w:rsidRPr="00370462">
        <w:rPr>
          <w:sz w:val="24"/>
          <w:szCs w:val="24"/>
        </w:rPr>
        <w:t xml:space="preserve">pública </w:t>
      </w:r>
      <w:r w:rsidR="006001E3" w:rsidRPr="00370462">
        <w:rPr>
          <w:sz w:val="24"/>
          <w:szCs w:val="24"/>
        </w:rPr>
        <w:t>en el logro de resultados</w:t>
      </w:r>
      <w:r w:rsidR="00181173" w:rsidRPr="00370462">
        <w:rPr>
          <w:sz w:val="24"/>
          <w:szCs w:val="24"/>
        </w:rPr>
        <w:t>.</w:t>
      </w:r>
    </w:p>
    <w:p w:rsidR="009E0F8A" w:rsidRPr="00FF73C5" w:rsidRDefault="009E0F8A" w:rsidP="00FF73C5">
      <w:pPr>
        <w:pStyle w:val="Prrafodelista"/>
        <w:numPr>
          <w:ilvl w:val="0"/>
          <w:numId w:val="10"/>
        </w:numPr>
        <w:autoSpaceDE w:val="0"/>
        <w:autoSpaceDN w:val="0"/>
        <w:adjustRightInd w:val="0"/>
        <w:spacing w:after="200" w:line="276" w:lineRule="auto"/>
        <w:ind w:right="-21"/>
        <w:jc w:val="both"/>
        <w:rPr>
          <w:sz w:val="24"/>
          <w:lang w:val="es-ES"/>
        </w:rPr>
      </w:pPr>
      <w:r w:rsidRPr="00FF73C5">
        <w:rPr>
          <w:sz w:val="24"/>
        </w:rPr>
        <w:t xml:space="preserve">Avanzar en el cumplimiento de los </w:t>
      </w:r>
      <w:r w:rsidR="00641FA4">
        <w:rPr>
          <w:sz w:val="24"/>
        </w:rPr>
        <w:t>O</w:t>
      </w:r>
      <w:r w:rsidRPr="00FF73C5">
        <w:rPr>
          <w:sz w:val="24"/>
        </w:rPr>
        <w:t xml:space="preserve">bjetivos de </w:t>
      </w:r>
      <w:r w:rsidR="00641FA4">
        <w:rPr>
          <w:sz w:val="24"/>
        </w:rPr>
        <w:t>D</w:t>
      </w:r>
      <w:r w:rsidRPr="00FF73C5">
        <w:rPr>
          <w:sz w:val="24"/>
        </w:rPr>
        <w:t xml:space="preserve">esarrollo </w:t>
      </w:r>
      <w:r w:rsidR="00641FA4">
        <w:rPr>
          <w:sz w:val="24"/>
        </w:rPr>
        <w:t>S</w:t>
      </w:r>
      <w:r w:rsidRPr="00FF73C5">
        <w:rPr>
          <w:sz w:val="24"/>
        </w:rPr>
        <w:t>ostenible (ODS)</w:t>
      </w:r>
      <w:r w:rsidR="00641FA4">
        <w:rPr>
          <w:sz w:val="24"/>
        </w:rPr>
        <w:t>,</w:t>
      </w:r>
      <w:r w:rsidRPr="00FF73C5">
        <w:rPr>
          <w:sz w:val="24"/>
        </w:rPr>
        <w:t xml:space="preserve"> principalmente en los temas sociales como educación, salud y agua y saneamiento.</w:t>
      </w:r>
    </w:p>
    <w:p w:rsidR="009E0F8A" w:rsidRPr="00FF73C5" w:rsidRDefault="009E0F8A" w:rsidP="00FF73C5">
      <w:pPr>
        <w:pStyle w:val="Prrafodelista"/>
        <w:numPr>
          <w:ilvl w:val="0"/>
          <w:numId w:val="10"/>
        </w:numPr>
        <w:autoSpaceDE w:val="0"/>
        <w:autoSpaceDN w:val="0"/>
        <w:adjustRightInd w:val="0"/>
        <w:spacing w:after="200" w:line="276" w:lineRule="auto"/>
        <w:ind w:right="-21"/>
        <w:jc w:val="both"/>
        <w:rPr>
          <w:sz w:val="24"/>
          <w:lang w:val="es-ES"/>
        </w:rPr>
      </w:pPr>
      <w:r w:rsidRPr="00FF73C5">
        <w:rPr>
          <w:sz w:val="24"/>
        </w:rPr>
        <w:t>Seguir fortaleciendo las instituciones de justicia, especialmente el Ministerio Público y el Organismo Judicial.</w:t>
      </w:r>
    </w:p>
    <w:p w:rsidR="00FF73C5" w:rsidRPr="00FF73C5" w:rsidRDefault="00FF73C5" w:rsidP="00FF73C5">
      <w:pPr>
        <w:pStyle w:val="Prrafodelista"/>
        <w:numPr>
          <w:ilvl w:val="0"/>
          <w:numId w:val="10"/>
        </w:numPr>
        <w:autoSpaceDE w:val="0"/>
        <w:autoSpaceDN w:val="0"/>
        <w:adjustRightInd w:val="0"/>
        <w:spacing w:after="200" w:line="276" w:lineRule="auto"/>
        <w:ind w:right="-21"/>
        <w:jc w:val="both"/>
        <w:rPr>
          <w:sz w:val="24"/>
        </w:rPr>
      </w:pPr>
      <w:r w:rsidRPr="00FF73C5">
        <w:rPr>
          <w:sz w:val="24"/>
        </w:rPr>
        <w:t>Preservar la sostenibilidad de la deuda pública mediante un déficit fiscal moderado y consistente con las recomendaciones del FMI.</w:t>
      </w:r>
    </w:p>
    <w:p w:rsidR="00FF73C5" w:rsidRPr="00FF73C5" w:rsidRDefault="00FF73C5" w:rsidP="00FF73C5">
      <w:pPr>
        <w:pStyle w:val="Prrafodelista"/>
        <w:numPr>
          <w:ilvl w:val="0"/>
          <w:numId w:val="10"/>
        </w:numPr>
        <w:autoSpaceDE w:val="0"/>
        <w:autoSpaceDN w:val="0"/>
        <w:adjustRightInd w:val="0"/>
        <w:spacing w:after="200" w:line="276" w:lineRule="auto"/>
        <w:ind w:right="-21"/>
        <w:jc w:val="both"/>
        <w:rPr>
          <w:sz w:val="24"/>
        </w:rPr>
      </w:pPr>
      <w:r w:rsidRPr="00FF73C5">
        <w:rPr>
          <w:sz w:val="24"/>
        </w:rPr>
        <w:t xml:space="preserve">Continuar con la profundización de la transparencia fiscal y la </w:t>
      </w:r>
      <w:r w:rsidR="00E7669D">
        <w:rPr>
          <w:sz w:val="24"/>
        </w:rPr>
        <w:t>rendición de cuentas.</w:t>
      </w:r>
    </w:p>
    <w:p w:rsidR="00FF73C5" w:rsidRPr="00FF73C5" w:rsidRDefault="00FF73C5" w:rsidP="00FF73C5">
      <w:pPr>
        <w:pStyle w:val="Prrafodelista"/>
        <w:autoSpaceDE w:val="0"/>
        <w:autoSpaceDN w:val="0"/>
        <w:adjustRightInd w:val="0"/>
        <w:spacing w:after="200" w:line="276" w:lineRule="auto"/>
        <w:ind w:right="-21"/>
        <w:jc w:val="both"/>
        <w:rPr>
          <w:sz w:val="24"/>
          <w:lang w:val="es-ES"/>
        </w:rPr>
      </w:pPr>
    </w:p>
    <w:p w:rsidR="005A3951" w:rsidRDefault="005A3951" w:rsidP="00766466">
      <w:pPr>
        <w:numPr>
          <w:ilvl w:val="0"/>
          <w:numId w:val="12"/>
        </w:numPr>
        <w:jc w:val="both"/>
        <w:rPr>
          <w:b/>
          <w:sz w:val="24"/>
          <w:lang w:val="es-GT"/>
        </w:rPr>
      </w:pPr>
      <w:r w:rsidRPr="001A0F78">
        <w:rPr>
          <w:b/>
          <w:sz w:val="28"/>
          <w:lang w:val="es-GT"/>
        </w:rPr>
        <w:t>Estrategia y Metodología</w:t>
      </w:r>
    </w:p>
    <w:p w:rsidR="00217E70" w:rsidRPr="002377C2" w:rsidRDefault="002F51A3" w:rsidP="00974AD8">
      <w:pPr>
        <w:jc w:val="both"/>
        <w:rPr>
          <w:sz w:val="24"/>
          <w:lang w:val="es-GT"/>
        </w:rPr>
      </w:pPr>
      <w:r>
        <w:rPr>
          <w:sz w:val="24"/>
          <w:lang w:val="es-GT"/>
        </w:rPr>
        <w:t>En el</w:t>
      </w:r>
      <w:r w:rsidR="006A6C5B" w:rsidRPr="002377C2">
        <w:rPr>
          <w:sz w:val="24"/>
          <w:lang w:val="es-GT"/>
        </w:rPr>
        <w:t xml:space="preserve"> </w:t>
      </w:r>
      <w:r w:rsidR="00D2579C" w:rsidRPr="002377C2">
        <w:rPr>
          <w:sz w:val="24"/>
          <w:lang w:val="es-GT"/>
        </w:rPr>
        <w:t xml:space="preserve">proceso de </w:t>
      </w:r>
      <w:proofErr w:type="gramStart"/>
      <w:r>
        <w:rPr>
          <w:sz w:val="24"/>
          <w:lang w:val="es-GT"/>
        </w:rPr>
        <w:t>formulación  del</w:t>
      </w:r>
      <w:proofErr w:type="gramEnd"/>
      <w:r>
        <w:rPr>
          <w:sz w:val="24"/>
          <w:lang w:val="es-GT"/>
        </w:rPr>
        <w:t xml:space="preserve"> </w:t>
      </w:r>
      <w:r w:rsidR="006A6C5B" w:rsidRPr="002377C2">
        <w:rPr>
          <w:sz w:val="24"/>
          <w:lang w:val="es-GT"/>
        </w:rPr>
        <w:t>Proyecto de Presupuesto</w:t>
      </w:r>
      <w:r w:rsidR="00641FA4">
        <w:rPr>
          <w:sz w:val="24"/>
          <w:lang w:val="es-GT"/>
        </w:rPr>
        <w:t xml:space="preserve"> General de Ingresos y Egresos del Estado para el Ejercicio Fiscal</w:t>
      </w:r>
      <w:r w:rsidR="00E40D63" w:rsidRPr="002377C2">
        <w:rPr>
          <w:sz w:val="24"/>
          <w:lang w:val="es-GT"/>
        </w:rPr>
        <w:t xml:space="preserve"> 20</w:t>
      </w:r>
      <w:r w:rsidR="009D0F6C">
        <w:rPr>
          <w:sz w:val="24"/>
          <w:lang w:val="es-GT"/>
        </w:rPr>
        <w:t>20</w:t>
      </w:r>
      <w:r w:rsidR="00E40D63" w:rsidRPr="002377C2">
        <w:rPr>
          <w:sz w:val="24"/>
          <w:lang w:val="es-GT"/>
        </w:rPr>
        <w:t xml:space="preserve"> y Multianual 20</w:t>
      </w:r>
      <w:r w:rsidR="009D0F6C">
        <w:rPr>
          <w:sz w:val="24"/>
          <w:lang w:val="es-GT"/>
        </w:rPr>
        <w:t>20</w:t>
      </w:r>
      <w:r w:rsidR="00E40D63" w:rsidRPr="002377C2">
        <w:rPr>
          <w:sz w:val="24"/>
          <w:lang w:val="es-GT"/>
        </w:rPr>
        <w:t>-202</w:t>
      </w:r>
      <w:r w:rsidR="009D0F6C">
        <w:rPr>
          <w:sz w:val="24"/>
          <w:lang w:val="es-GT"/>
        </w:rPr>
        <w:t>4</w:t>
      </w:r>
      <w:r>
        <w:rPr>
          <w:sz w:val="24"/>
          <w:lang w:val="es-GT"/>
        </w:rPr>
        <w:t xml:space="preserve">, se continúa  la estrategia de </w:t>
      </w:r>
      <w:r w:rsidR="00FF404C">
        <w:rPr>
          <w:sz w:val="24"/>
          <w:lang w:val="es-GT"/>
        </w:rPr>
        <w:t xml:space="preserve">vinculación con el </w:t>
      </w:r>
      <w:r>
        <w:rPr>
          <w:sz w:val="24"/>
          <w:lang w:val="es-GT"/>
        </w:rPr>
        <w:t xml:space="preserve">proceso de planificación </w:t>
      </w:r>
      <w:r w:rsidR="008D2F51">
        <w:rPr>
          <w:sz w:val="24"/>
          <w:lang w:val="es-GT"/>
        </w:rPr>
        <w:t xml:space="preserve">contenido en el </w:t>
      </w:r>
      <w:r w:rsidRPr="002377C2">
        <w:rPr>
          <w:sz w:val="24"/>
          <w:lang w:val="es-GT"/>
        </w:rPr>
        <w:t>Plan Estratégico Institucional (PEI), Plan Operativo Multianual (POM) y el Plan Operativo Anual (POA)</w:t>
      </w:r>
      <w:r w:rsidR="00FF404C">
        <w:rPr>
          <w:sz w:val="24"/>
          <w:lang w:val="es-GT"/>
        </w:rPr>
        <w:t>.</w:t>
      </w:r>
    </w:p>
    <w:p w:rsidR="00217E70" w:rsidRDefault="00FF404C" w:rsidP="00E40D63">
      <w:pPr>
        <w:jc w:val="both"/>
        <w:rPr>
          <w:sz w:val="24"/>
          <w:lang w:val="es-GT"/>
        </w:rPr>
      </w:pPr>
      <w:r>
        <w:rPr>
          <w:sz w:val="24"/>
          <w:lang w:val="es-GT"/>
        </w:rPr>
        <w:t xml:space="preserve">Para el efecto, </w:t>
      </w:r>
      <w:r w:rsidR="00E40D63" w:rsidRPr="002377C2">
        <w:rPr>
          <w:sz w:val="24"/>
          <w:lang w:val="es-GT"/>
        </w:rPr>
        <w:t xml:space="preserve">las </w:t>
      </w:r>
      <w:r w:rsidR="00217E70" w:rsidRPr="002377C2">
        <w:rPr>
          <w:sz w:val="24"/>
          <w:lang w:val="es-GT"/>
        </w:rPr>
        <w:t xml:space="preserve">Normas para la Formulación Presupuestaria </w:t>
      </w:r>
      <w:r>
        <w:rPr>
          <w:sz w:val="24"/>
          <w:lang w:val="es-GT"/>
        </w:rPr>
        <w:t xml:space="preserve">se trasladaron </w:t>
      </w:r>
      <w:r w:rsidR="004D41F9">
        <w:rPr>
          <w:sz w:val="24"/>
          <w:lang w:val="es-GT"/>
        </w:rPr>
        <w:t xml:space="preserve">oportunamente </w:t>
      </w:r>
      <w:r w:rsidR="00C87F6C">
        <w:rPr>
          <w:sz w:val="24"/>
          <w:lang w:val="es-GT"/>
        </w:rPr>
        <w:t>a las instituciones públicas</w:t>
      </w:r>
      <w:r>
        <w:rPr>
          <w:sz w:val="24"/>
          <w:lang w:val="es-GT"/>
        </w:rPr>
        <w:t>,</w:t>
      </w:r>
      <w:r w:rsidR="00C87F6C">
        <w:rPr>
          <w:sz w:val="24"/>
          <w:lang w:val="es-GT"/>
        </w:rPr>
        <w:t xml:space="preserve"> </w:t>
      </w:r>
      <w:r>
        <w:rPr>
          <w:sz w:val="24"/>
          <w:lang w:val="es-GT"/>
        </w:rPr>
        <w:t xml:space="preserve">a fin de </w:t>
      </w:r>
      <w:r w:rsidR="00C87F6C">
        <w:rPr>
          <w:sz w:val="24"/>
          <w:lang w:val="es-GT"/>
        </w:rPr>
        <w:t xml:space="preserve">orientar aspectos técnicos relacionados </w:t>
      </w:r>
      <w:r w:rsidR="00CD13F2">
        <w:rPr>
          <w:sz w:val="24"/>
          <w:lang w:val="es-GT"/>
        </w:rPr>
        <w:t>con</w:t>
      </w:r>
      <w:r w:rsidR="00C87F6C">
        <w:rPr>
          <w:sz w:val="24"/>
          <w:lang w:val="es-GT"/>
        </w:rPr>
        <w:t xml:space="preserve"> la </w:t>
      </w:r>
      <w:r w:rsidR="00C87F6C" w:rsidRPr="00C87F6C">
        <w:rPr>
          <w:sz w:val="24"/>
          <w:lang w:val="es-GT"/>
        </w:rPr>
        <w:t xml:space="preserve">estimación de los ingresos y la asignación de los recursos, </w:t>
      </w:r>
      <w:r w:rsidR="00575D6A">
        <w:rPr>
          <w:sz w:val="24"/>
          <w:lang w:val="es-GT"/>
        </w:rPr>
        <w:t xml:space="preserve">bajo el </w:t>
      </w:r>
      <w:r w:rsidR="00C87F6C" w:rsidRPr="00C87F6C">
        <w:rPr>
          <w:sz w:val="24"/>
          <w:lang w:val="es-GT"/>
        </w:rPr>
        <w:t xml:space="preserve">marco </w:t>
      </w:r>
      <w:r w:rsidR="00575D6A">
        <w:rPr>
          <w:sz w:val="24"/>
          <w:lang w:val="es-GT"/>
        </w:rPr>
        <w:t>legal vigente y desde la perspectiva técnica y financiera</w:t>
      </w:r>
      <w:r w:rsidR="00CE2559">
        <w:rPr>
          <w:sz w:val="24"/>
          <w:lang w:val="es-GT"/>
        </w:rPr>
        <w:t xml:space="preserve"> factible</w:t>
      </w:r>
      <w:r w:rsidR="001D4532">
        <w:rPr>
          <w:sz w:val="24"/>
          <w:lang w:val="es-GT"/>
        </w:rPr>
        <w:t xml:space="preserve"> para el período relacionado</w:t>
      </w:r>
      <w:r w:rsidR="00575D6A">
        <w:rPr>
          <w:sz w:val="24"/>
          <w:lang w:val="es-GT"/>
        </w:rPr>
        <w:t>.</w:t>
      </w:r>
    </w:p>
    <w:p w:rsidR="007079D8" w:rsidRDefault="007079D8" w:rsidP="006E4EC0">
      <w:pPr>
        <w:jc w:val="both"/>
        <w:rPr>
          <w:sz w:val="24"/>
          <w:lang w:val="es-GT"/>
        </w:rPr>
      </w:pPr>
      <w:r>
        <w:rPr>
          <w:sz w:val="24"/>
          <w:lang w:val="es-GT"/>
        </w:rPr>
        <w:t>La vinculación plan-presupuesto y su normativa constituyen</w:t>
      </w:r>
      <w:r w:rsidR="006E4EC0">
        <w:rPr>
          <w:sz w:val="24"/>
          <w:lang w:val="es-GT"/>
        </w:rPr>
        <w:t xml:space="preserve"> </w:t>
      </w:r>
      <w:r>
        <w:rPr>
          <w:sz w:val="24"/>
          <w:lang w:val="es-GT"/>
        </w:rPr>
        <w:t xml:space="preserve">parte de las herramientas técnicas que facilitan a </w:t>
      </w:r>
      <w:r w:rsidR="006E4EC0">
        <w:rPr>
          <w:sz w:val="24"/>
          <w:lang w:val="es-GT"/>
        </w:rPr>
        <w:t xml:space="preserve">las instituciones públicas </w:t>
      </w:r>
      <w:r>
        <w:rPr>
          <w:sz w:val="24"/>
          <w:lang w:val="es-GT"/>
        </w:rPr>
        <w:t xml:space="preserve">la elaboración </w:t>
      </w:r>
      <w:r w:rsidR="003B4DAA">
        <w:rPr>
          <w:sz w:val="24"/>
          <w:lang w:val="es-GT"/>
        </w:rPr>
        <w:t xml:space="preserve">de </w:t>
      </w:r>
      <w:r>
        <w:rPr>
          <w:sz w:val="24"/>
          <w:lang w:val="es-GT"/>
        </w:rPr>
        <w:t xml:space="preserve">sus anteproyectos de presupuesto.  El objetivo es alcanzar </w:t>
      </w:r>
      <w:r w:rsidRPr="006E4EC0">
        <w:rPr>
          <w:sz w:val="24"/>
          <w:lang w:val="es-GT"/>
        </w:rPr>
        <w:t xml:space="preserve">los </w:t>
      </w:r>
      <w:r>
        <w:rPr>
          <w:sz w:val="24"/>
          <w:lang w:val="es-GT"/>
        </w:rPr>
        <w:t>“</w:t>
      </w:r>
      <w:r w:rsidRPr="006E4EC0">
        <w:rPr>
          <w:sz w:val="24"/>
          <w:lang w:val="es-GT"/>
        </w:rPr>
        <w:t>Resultados Estratégicos</w:t>
      </w:r>
      <w:r>
        <w:rPr>
          <w:sz w:val="24"/>
          <w:lang w:val="es-GT"/>
        </w:rPr>
        <w:t xml:space="preserve">” por medio de los cuales se realizarán diversas intervenciones a favor de los ciudadanos en concordancia con las </w:t>
      </w:r>
      <w:r w:rsidRPr="006E4EC0">
        <w:rPr>
          <w:sz w:val="24"/>
          <w:lang w:val="es-GT"/>
        </w:rPr>
        <w:t>metas priorizadas en la Agenda de Desarrollo Sostenible</w:t>
      </w:r>
      <w:r>
        <w:rPr>
          <w:sz w:val="24"/>
          <w:lang w:val="es-GT"/>
        </w:rPr>
        <w:t>.</w:t>
      </w:r>
    </w:p>
    <w:p w:rsidR="0094643B" w:rsidRDefault="002B3312" w:rsidP="005778C2">
      <w:pPr>
        <w:jc w:val="both"/>
        <w:rPr>
          <w:sz w:val="24"/>
          <w:lang w:val="es-GT"/>
        </w:rPr>
      </w:pPr>
      <w:r>
        <w:rPr>
          <w:sz w:val="24"/>
          <w:lang w:val="es-GT"/>
        </w:rPr>
        <w:t>Como parte de la metodología para la elaboración del próximo proyecto de presupuesto, se considera</w:t>
      </w:r>
      <w:r w:rsidR="001173D1">
        <w:rPr>
          <w:sz w:val="24"/>
          <w:lang w:val="es-GT"/>
        </w:rPr>
        <w:t>ron</w:t>
      </w:r>
      <w:r>
        <w:rPr>
          <w:sz w:val="24"/>
          <w:lang w:val="es-GT"/>
        </w:rPr>
        <w:t xml:space="preserve"> las </w:t>
      </w:r>
      <w:r w:rsidR="005778C2">
        <w:rPr>
          <w:sz w:val="24"/>
          <w:lang w:val="es-GT"/>
        </w:rPr>
        <w:t>actividades siguientes:</w:t>
      </w:r>
    </w:p>
    <w:p w:rsidR="0045698F" w:rsidRDefault="0045698F" w:rsidP="00E27D1E">
      <w:pPr>
        <w:numPr>
          <w:ilvl w:val="0"/>
          <w:numId w:val="5"/>
        </w:numPr>
        <w:jc w:val="both"/>
        <w:rPr>
          <w:sz w:val="24"/>
          <w:lang w:val="es-GT"/>
        </w:rPr>
      </w:pPr>
      <w:r>
        <w:rPr>
          <w:sz w:val="24"/>
          <w:lang w:val="es-GT"/>
        </w:rPr>
        <w:lastRenderedPageBreak/>
        <w:t xml:space="preserve">Exposición de </w:t>
      </w:r>
      <w:r w:rsidR="00DA087D">
        <w:rPr>
          <w:sz w:val="24"/>
          <w:lang w:val="es-GT"/>
        </w:rPr>
        <w:t xml:space="preserve">los </w:t>
      </w:r>
      <w:r>
        <w:rPr>
          <w:sz w:val="24"/>
          <w:lang w:val="es-GT"/>
        </w:rPr>
        <w:t>supuestos macro</w:t>
      </w:r>
      <w:r w:rsidR="003B4DAA">
        <w:rPr>
          <w:sz w:val="24"/>
          <w:lang w:val="es-GT"/>
        </w:rPr>
        <w:t>económicos</w:t>
      </w:r>
      <w:r>
        <w:rPr>
          <w:sz w:val="24"/>
          <w:lang w:val="es-GT"/>
        </w:rPr>
        <w:t xml:space="preserve"> p</w:t>
      </w:r>
      <w:r w:rsidR="007F509F">
        <w:rPr>
          <w:sz w:val="24"/>
          <w:lang w:val="es-GT"/>
        </w:rPr>
        <w:t>or parte del Banco de Guatemala</w:t>
      </w:r>
      <w:r w:rsidR="00DA2C2D">
        <w:rPr>
          <w:sz w:val="24"/>
          <w:lang w:val="es-GT"/>
        </w:rPr>
        <w:t xml:space="preserve"> (BANGUAT)</w:t>
      </w:r>
      <w:r w:rsidR="007F509F">
        <w:rPr>
          <w:sz w:val="24"/>
          <w:lang w:val="es-GT"/>
        </w:rPr>
        <w:t>.</w:t>
      </w:r>
    </w:p>
    <w:p w:rsidR="0045698F" w:rsidRDefault="00A50CBD" w:rsidP="00E27D1E">
      <w:pPr>
        <w:numPr>
          <w:ilvl w:val="0"/>
          <w:numId w:val="5"/>
        </w:numPr>
        <w:jc w:val="both"/>
        <w:rPr>
          <w:sz w:val="24"/>
          <w:lang w:val="es-GT"/>
        </w:rPr>
      </w:pPr>
      <w:r>
        <w:rPr>
          <w:sz w:val="24"/>
          <w:lang w:val="es-GT"/>
        </w:rPr>
        <w:t>Perspectivas de la recaudación por parte de la Superintendencia de Administración Tributaria (SAT).</w:t>
      </w:r>
    </w:p>
    <w:p w:rsidR="00DA2C2D" w:rsidRDefault="00DA2C2D" w:rsidP="00E27D1E">
      <w:pPr>
        <w:numPr>
          <w:ilvl w:val="0"/>
          <w:numId w:val="5"/>
        </w:numPr>
        <w:jc w:val="both"/>
        <w:rPr>
          <w:sz w:val="24"/>
          <w:lang w:val="es-GT"/>
        </w:rPr>
      </w:pPr>
      <w:r>
        <w:rPr>
          <w:sz w:val="24"/>
          <w:lang w:val="es-GT"/>
        </w:rPr>
        <w:t>Coordinación BANGUAT, SAT y MINFIN para el establecimiento de metas</w:t>
      </w:r>
      <w:r w:rsidR="00C105CC">
        <w:rPr>
          <w:sz w:val="24"/>
          <w:lang w:val="es-GT"/>
        </w:rPr>
        <w:t xml:space="preserve"> fiscales</w:t>
      </w:r>
      <w:r>
        <w:rPr>
          <w:sz w:val="24"/>
          <w:lang w:val="es-GT"/>
        </w:rPr>
        <w:t>.</w:t>
      </w:r>
    </w:p>
    <w:p w:rsidR="005A3951" w:rsidRDefault="00DA2C2D" w:rsidP="00E27D1E">
      <w:pPr>
        <w:numPr>
          <w:ilvl w:val="0"/>
          <w:numId w:val="5"/>
        </w:numPr>
        <w:jc w:val="both"/>
        <w:rPr>
          <w:sz w:val="24"/>
          <w:lang w:val="es-GT"/>
        </w:rPr>
      </w:pPr>
      <w:r>
        <w:rPr>
          <w:sz w:val="24"/>
          <w:lang w:val="es-GT"/>
        </w:rPr>
        <w:t xml:space="preserve">Diagnóstico </w:t>
      </w:r>
      <w:r w:rsidR="005779B0">
        <w:rPr>
          <w:sz w:val="24"/>
          <w:lang w:val="es-GT"/>
        </w:rPr>
        <w:t xml:space="preserve">sobre </w:t>
      </w:r>
      <w:r w:rsidR="006667FA">
        <w:rPr>
          <w:sz w:val="24"/>
          <w:lang w:val="es-GT"/>
        </w:rPr>
        <w:t xml:space="preserve">los </w:t>
      </w:r>
      <w:r w:rsidR="008C295D">
        <w:rPr>
          <w:sz w:val="24"/>
          <w:lang w:val="es-GT"/>
        </w:rPr>
        <w:t>sectores prioritarios</w:t>
      </w:r>
      <w:r w:rsidR="006667FA">
        <w:rPr>
          <w:sz w:val="24"/>
          <w:lang w:val="es-GT"/>
        </w:rPr>
        <w:t xml:space="preserve"> </w:t>
      </w:r>
      <w:r w:rsidR="00D45D0D">
        <w:rPr>
          <w:sz w:val="24"/>
          <w:lang w:val="es-GT"/>
        </w:rPr>
        <w:t>en las áreas de</w:t>
      </w:r>
      <w:r w:rsidR="0045698F">
        <w:rPr>
          <w:sz w:val="24"/>
          <w:lang w:val="es-GT"/>
        </w:rPr>
        <w:t xml:space="preserve"> </w:t>
      </w:r>
      <w:r w:rsidR="00D779DE">
        <w:rPr>
          <w:sz w:val="24"/>
          <w:lang w:val="es-GT"/>
        </w:rPr>
        <w:t>salud</w:t>
      </w:r>
      <w:r w:rsidR="0045698F">
        <w:rPr>
          <w:sz w:val="24"/>
          <w:lang w:val="es-GT"/>
        </w:rPr>
        <w:t xml:space="preserve">, </w:t>
      </w:r>
      <w:r w:rsidR="00D779DE">
        <w:rPr>
          <w:sz w:val="24"/>
          <w:lang w:val="es-GT"/>
        </w:rPr>
        <w:t>educación</w:t>
      </w:r>
      <w:r w:rsidR="00733F5A">
        <w:rPr>
          <w:sz w:val="24"/>
          <w:lang w:val="es-GT"/>
        </w:rPr>
        <w:t xml:space="preserve">, </w:t>
      </w:r>
      <w:r w:rsidR="00D779DE">
        <w:rPr>
          <w:sz w:val="24"/>
          <w:lang w:val="es-GT"/>
        </w:rPr>
        <w:t xml:space="preserve">seguridad </w:t>
      </w:r>
      <w:r w:rsidR="00AF1E6F">
        <w:rPr>
          <w:sz w:val="24"/>
          <w:lang w:val="es-GT"/>
        </w:rPr>
        <w:t xml:space="preserve">y </w:t>
      </w:r>
      <w:r w:rsidR="00D779DE">
        <w:rPr>
          <w:sz w:val="24"/>
          <w:lang w:val="es-GT"/>
        </w:rPr>
        <w:t>justicia</w:t>
      </w:r>
      <w:r w:rsidR="00AF1E6F">
        <w:rPr>
          <w:sz w:val="24"/>
          <w:lang w:val="es-GT"/>
        </w:rPr>
        <w:t xml:space="preserve">, </w:t>
      </w:r>
      <w:r w:rsidR="00D779DE">
        <w:rPr>
          <w:sz w:val="24"/>
          <w:lang w:val="es-GT"/>
        </w:rPr>
        <w:t xml:space="preserve">productividad </w:t>
      </w:r>
      <w:r w:rsidR="00AF1E6F">
        <w:rPr>
          <w:sz w:val="24"/>
          <w:lang w:val="es-GT"/>
        </w:rPr>
        <w:t xml:space="preserve">y </w:t>
      </w:r>
      <w:r w:rsidR="00D779DE">
        <w:rPr>
          <w:sz w:val="24"/>
          <w:lang w:val="es-GT"/>
        </w:rPr>
        <w:t>cambio climático</w:t>
      </w:r>
      <w:r w:rsidR="00AF1E6F">
        <w:rPr>
          <w:sz w:val="24"/>
          <w:lang w:val="es-GT"/>
        </w:rPr>
        <w:t>.</w:t>
      </w:r>
      <w:r w:rsidR="00C5480B">
        <w:rPr>
          <w:sz w:val="24"/>
          <w:lang w:val="es-GT"/>
        </w:rPr>
        <w:t xml:space="preserve"> </w:t>
      </w:r>
    </w:p>
    <w:p w:rsidR="003A19FE" w:rsidRDefault="003A19FE" w:rsidP="003A19FE">
      <w:pPr>
        <w:numPr>
          <w:ilvl w:val="0"/>
          <w:numId w:val="5"/>
        </w:numPr>
        <w:jc w:val="both"/>
        <w:rPr>
          <w:sz w:val="24"/>
          <w:lang w:val="es-GT"/>
        </w:rPr>
      </w:pPr>
      <w:r>
        <w:rPr>
          <w:sz w:val="24"/>
          <w:lang w:val="es-GT"/>
        </w:rPr>
        <w:t>Continuidad en el uso de la metodología del Presupuesto por Resultados.</w:t>
      </w:r>
    </w:p>
    <w:p w:rsidR="003A19FE" w:rsidRDefault="003A19FE" w:rsidP="00E27D1E">
      <w:pPr>
        <w:numPr>
          <w:ilvl w:val="0"/>
          <w:numId w:val="5"/>
        </w:numPr>
        <w:jc w:val="both"/>
        <w:rPr>
          <w:sz w:val="24"/>
          <w:lang w:val="es-GT"/>
        </w:rPr>
      </w:pPr>
      <w:r>
        <w:rPr>
          <w:sz w:val="24"/>
          <w:lang w:val="es-GT"/>
        </w:rPr>
        <w:t>Formulación presupuestaria con un horizonte multianual de cinco años.</w:t>
      </w:r>
    </w:p>
    <w:p w:rsidR="00181EA2" w:rsidRDefault="00181EA2" w:rsidP="00181EA2">
      <w:pPr>
        <w:numPr>
          <w:ilvl w:val="0"/>
          <w:numId w:val="5"/>
        </w:numPr>
        <w:jc w:val="both"/>
        <w:rPr>
          <w:sz w:val="24"/>
          <w:lang w:val="es-GT"/>
        </w:rPr>
      </w:pPr>
      <w:r>
        <w:rPr>
          <w:sz w:val="24"/>
          <w:lang w:val="es-GT"/>
        </w:rPr>
        <w:t>Coordinación de las prioridades nacionales con los Objetivos de Desarrollo Sostenible (ODS).</w:t>
      </w:r>
    </w:p>
    <w:p w:rsidR="002C22D4" w:rsidRDefault="002C22D4" w:rsidP="007033B8">
      <w:pPr>
        <w:numPr>
          <w:ilvl w:val="0"/>
          <w:numId w:val="5"/>
        </w:numPr>
        <w:jc w:val="both"/>
        <w:rPr>
          <w:sz w:val="24"/>
          <w:lang w:val="es-GT"/>
        </w:rPr>
      </w:pPr>
      <w:r w:rsidRPr="002C22D4">
        <w:rPr>
          <w:sz w:val="24"/>
          <w:lang w:val="es-GT"/>
        </w:rPr>
        <w:t xml:space="preserve">Continuidad de </w:t>
      </w:r>
      <w:r w:rsidR="00D228A9" w:rsidRPr="002C22D4">
        <w:rPr>
          <w:sz w:val="24"/>
          <w:lang w:val="es-GT"/>
        </w:rPr>
        <w:t xml:space="preserve">mesas técnicas de trabajo con entidades de la administración central para </w:t>
      </w:r>
      <w:r w:rsidRPr="002C22D4">
        <w:rPr>
          <w:sz w:val="24"/>
          <w:lang w:val="es-GT"/>
        </w:rPr>
        <w:t xml:space="preserve">revisión </w:t>
      </w:r>
      <w:r w:rsidR="00F800B0" w:rsidRPr="002C22D4">
        <w:rPr>
          <w:sz w:val="24"/>
          <w:lang w:val="es-GT"/>
        </w:rPr>
        <w:t>de los programas a los que se da</w:t>
      </w:r>
      <w:r w:rsidR="00C708E8" w:rsidRPr="002C22D4">
        <w:rPr>
          <w:sz w:val="24"/>
          <w:lang w:val="es-GT"/>
        </w:rPr>
        <w:t>rá continuidad en el período 2020</w:t>
      </w:r>
      <w:r w:rsidR="00F800B0" w:rsidRPr="002C22D4">
        <w:rPr>
          <w:sz w:val="24"/>
          <w:lang w:val="es-GT"/>
        </w:rPr>
        <w:t>-202</w:t>
      </w:r>
      <w:r w:rsidR="00C708E8" w:rsidRPr="002C22D4">
        <w:rPr>
          <w:sz w:val="24"/>
          <w:lang w:val="es-GT"/>
        </w:rPr>
        <w:t>4</w:t>
      </w:r>
      <w:r w:rsidRPr="002C22D4">
        <w:rPr>
          <w:sz w:val="24"/>
          <w:lang w:val="es-GT"/>
        </w:rPr>
        <w:t>.</w:t>
      </w:r>
    </w:p>
    <w:p w:rsidR="002C22D4" w:rsidRDefault="002C22D4" w:rsidP="007033B8">
      <w:pPr>
        <w:numPr>
          <w:ilvl w:val="0"/>
          <w:numId w:val="5"/>
        </w:numPr>
        <w:jc w:val="both"/>
        <w:rPr>
          <w:sz w:val="24"/>
          <w:lang w:val="es-GT"/>
        </w:rPr>
      </w:pPr>
      <w:r w:rsidRPr="002C22D4">
        <w:rPr>
          <w:sz w:val="24"/>
          <w:lang w:val="es-GT"/>
        </w:rPr>
        <w:t>Coordinación técnica con centros de investigación y organismos internacionales.</w:t>
      </w:r>
    </w:p>
    <w:p w:rsidR="002C22D4" w:rsidRDefault="002C22D4" w:rsidP="007033B8">
      <w:pPr>
        <w:numPr>
          <w:ilvl w:val="0"/>
          <w:numId w:val="5"/>
        </w:numPr>
        <w:jc w:val="both"/>
        <w:rPr>
          <w:sz w:val="24"/>
          <w:lang w:val="es-GT"/>
        </w:rPr>
      </w:pPr>
      <w:r>
        <w:rPr>
          <w:sz w:val="24"/>
          <w:lang w:val="es-GT"/>
        </w:rPr>
        <w:t>Revisión del marco fiscal de mediano plazo.</w:t>
      </w:r>
    </w:p>
    <w:p w:rsidR="00D07DD3" w:rsidRPr="00A10254" w:rsidRDefault="00181EA2" w:rsidP="00F2123C">
      <w:pPr>
        <w:numPr>
          <w:ilvl w:val="0"/>
          <w:numId w:val="5"/>
        </w:numPr>
        <w:spacing w:after="0"/>
        <w:ind w:left="708"/>
        <w:jc w:val="both"/>
        <w:rPr>
          <w:b/>
          <w:sz w:val="24"/>
          <w:lang w:val="es-GT"/>
        </w:rPr>
      </w:pPr>
      <w:r w:rsidRPr="00D07DD3">
        <w:rPr>
          <w:sz w:val="24"/>
          <w:lang w:val="es-GT"/>
        </w:rPr>
        <w:t>Discusión y formulación presupuestaria abierta 20</w:t>
      </w:r>
      <w:r w:rsidR="002C22D4">
        <w:rPr>
          <w:sz w:val="24"/>
          <w:lang w:val="es-GT"/>
        </w:rPr>
        <w:t>20</w:t>
      </w:r>
      <w:r w:rsidRPr="00D07DD3">
        <w:rPr>
          <w:sz w:val="24"/>
          <w:lang w:val="es-GT"/>
        </w:rPr>
        <w:t xml:space="preserve"> y multianual 20</w:t>
      </w:r>
      <w:r w:rsidR="002C22D4">
        <w:rPr>
          <w:sz w:val="24"/>
          <w:lang w:val="es-GT"/>
        </w:rPr>
        <w:t>20</w:t>
      </w:r>
      <w:r w:rsidRPr="00D07DD3">
        <w:rPr>
          <w:sz w:val="24"/>
          <w:lang w:val="es-GT"/>
        </w:rPr>
        <w:t>-202</w:t>
      </w:r>
      <w:r w:rsidR="002C22D4">
        <w:rPr>
          <w:sz w:val="24"/>
          <w:lang w:val="es-GT"/>
        </w:rPr>
        <w:t xml:space="preserve">4, mediante la realización de </w:t>
      </w:r>
      <w:r w:rsidR="00F800B0" w:rsidRPr="00D07DD3">
        <w:rPr>
          <w:sz w:val="24"/>
          <w:lang w:val="es-GT"/>
        </w:rPr>
        <w:t>Talleres de Presupuesto Abierto, en los que las entidades plantea</w:t>
      </w:r>
      <w:r w:rsidR="00676B57">
        <w:rPr>
          <w:sz w:val="24"/>
          <w:lang w:val="es-GT"/>
        </w:rPr>
        <w:t>ro</w:t>
      </w:r>
      <w:r w:rsidR="00F800B0" w:rsidRPr="00D07DD3">
        <w:rPr>
          <w:sz w:val="24"/>
          <w:lang w:val="es-GT"/>
        </w:rPr>
        <w:t>n escenarios indicativos para el per</w:t>
      </w:r>
      <w:r w:rsidR="00A51F3D" w:rsidRPr="00D07DD3">
        <w:rPr>
          <w:sz w:val="24"/>
          <w:lang w:val="es-GT"/>
        </w:rPr>
        <w:t xml:space="preserve">íodo, y en los que </w:t>
      </w:r>
      <w:r w:rsidR="00AE1363">
        <w:rPr>
          <w:sz w:val="24"/>
          <w:lang w:val="es-GT"/>
        </w:rPr>
        <w:t xml:space="preserve">organizaciones, </w:t>
      </w:r>
      <w:r w:rsidR="00A51F3D" w:rsidRPr="00D07DD3">
        <w:rPr>
          <w:sz w:val="24"/>
          <w:lang w:val="es-GT"/>
        </w:rPr>
        <w:t>ciudadanos y personas en general participa</w:t>
      </w:r>
      <w:r w:rsidR="00676B57">
        <w:rPr>
          <w:sz w:val="24"/>
          <w:lang w:val="es-GT"/>
        </w:rPr>
        <w:t>ro</w:t>
      </w:r>
      <w:r w:rsidR="00A51F3D" w:rsidRPr="00D07DD3">
        <w:rPr>
          <w:sz w:val="24"/>
          <w:lang w:val="es-GT"/>
        </w:rPr>
        <w:t>n brindando sus aportes u opiniones.</w:t>
      </w:r>
      <w:r w:rsidR="00F800B0" w:rsidRPr="00D07DD3">
        <w:rPr>
          <w:sz w:val="24"/>
          <w:lang w:val="es-GT"/>
        </w:rPr>
        <w:t xml:space="preserve"> </w:t>
      </w:r>
      <w:r w:rsidRPr="00D07DD3">
        <w:rPr>
          <w:sz w:val="24"/>
          <w:lang w:val="es-GT"/>
        </w:rPr>
        <w:t xml:space="preserve">Los </w:t>
      </w:r>
      <w:r w:rsidR="0045596D" w:rsidRPr="00D07DD3">
        <w:rPr>
          <w:sz w:val="24"/>
          <w:lang w:val="es-GT"/>
        </w:rPr>
        <w:t xml:space="preserve">talleres </w:t>
      </w:r>
      <w:r w:rsidR="00D779DE" w:rsidRPr="00D07DD3">
        <w:rPr>
          <w:sz w:val="24"/>
          <w:lang w:val="es-GT"/>
        </w:rPr>
        <w:t>fueron</w:t>
      </w:r>
      <w:r w:rsidR="00E27D1E" w:rsidRPr="00D07DD3">
        <w:rPr>
          <w:sz w:val="24"/>
          <w:lang w:val="es-GT"/>
        </w:rPr>
        <w:t xml:space="preserve"> realizados en el mes de </w:t>
      </w:r>
      <w:r w:rsidR="007710A6">
        <w:rPr>
          <w:sz w:val="24"/>
          <w:lang w:val="es-GT"/>
        </w:rPr>
        <w:t>j</w:t>
      </w:r>
      <w:r w:rsidR="00E27D1E" w:rsidRPr="00D07DD3">
        <w:rPr>
          <w:sz w:val="24"/>
          <w:lang w:val="es-GT"/>
        </w:rPr>
        <w:t>unio</w:t>
      </w:r>
      <w:r w:rsidR="007710A6">
        <w:rPr>
          <w:sz w:val="24"/>
          <w:lang w:val="es-GT"/>
        </w:rPr>
        <w:t xml:space="preserve"> de </w:t>
      </w:r>
      <w:r w:rsidR="00E27D1E" w:rsidRPr="00D07DD3">
        <w:rPr>
          <w:sz w:val="24"/>
          <w:lang w:val="es-GT"/>
        </w:rPr>
        <w:t>201</w:t>
      </w:r>
      <w:r w:rsidR="002C22D4">
        <w:rPr>
          <w:sz w:val="24"/>
          <w:lang w:val="es-GT"/>
        </w:rPr>
        <w:t>9</w:t>
      </w:r>
      <w:r w:rsidR="00AE1363">
        <w:rPr>
          <w:sz w:val="24"/>
          <w:lang w:val="es-GT"/>
        </w:rPr>
        <w:t>.</w:t>
      </w:r>
      <w:r w:rsidR="002D0496" w:rsidRPr="00D07DD3">
        <w:rPr>
          <w:sz w:val="24"/>
          <w:lang w:val="es-GT"/>
        </w:rPr>
        <w:t xml:space="preserve"> </w:t>
      </w:r>
    </w:p>
    <w:p w:rsidR="00A649ED" w:rsidRDefault="00A649ED" w:rsidP="00A649ED">
      <w:pPr>
        <w:jc w:val="right"/>
      </w:pPr>
      <w:r w:rsidRPr="00173586">
        <w:pict>
          <v:shape id="_x0000_i1027" type="#_x0000_t75" style="width:176.4pt;height:144.6pt">
            <v:imagedata r:id="rId12" o:title=""/>
          </v:shape>
        </w:pict>
      </w:r>
    </w:p>
    <w:p w:rsidR="00F2123C" w:rsidRDefault="00A649ED" w:rsidP="003E0978">
      <w:pPr>
        <w:spacing w:after="0"/>
        <w:jc w:val="right"/>
        <w:outlineLvl w:val="0"/>
        <w:rPr>
          <w:sz w:val="24"/>
          <w:lang w:val="es-GT"/>
        </w:rPr>
      </w:pPr>
      <w:r w:rsidRPr="00BE7F01">
        <w:rPr>
          <w:b/>
          <w:sz w:val="20"/>
          <w:szCs w:val="20"/>
        </w:rPr>
        <w:t>Tall</w:t>
      </w:r>
      <w:r>
        <w:rPr>
          <w:b/>
          <w:sz w:val="20"/>
          <w:szCs w:val="20"/>
        </w:rPr>
        <w:t>eres de Presupuesto Abierto 2020 (</w:t>
      </w:r>
      <w:proofErr w:type="gramStart"/>
      <w:r>
        <w:rPr>
          <w:b/>
          <w:sz w:val="20"/>
          <w:szCs w:val="20"/>
        </w:rPr>
        <w:t>Junio</w:t>
      </w:r>
      <w:proofErr w:type="gramEnd"/>
      <w:r>
        <w:rPr>
          <w:b/>
          <w:sz w:val="20"/>
          <w:szCs w:val="20"/>
        </w:rPr>
        <w:t>-2019).</w:t>
      </w:r>
    </w:p>
    <w:p w:rsidR="0052729F" w:rsidRDefault="0052729F" w:rsidP="00BC4526">
      <w:pPr>
        <w:spacing w:after="0"/>
        <w:rPr>
          <w:sz w:val="24"/>
          <w:lang w:val="es-GT"/>
        </w:rPr>
      </w:pPr>
    </w:p>
    <w:p w:rsidR="009C545B" w:rsidRDefault="009C545B" w:rsidP="00E20F6A">
      <w:pPr>
        <w:numPr>
          <w:ilvl w:val="0"/>
          <w:numId w:val="12"/>
        </w:numPr>
        <w:rPr>
          <w:b/>
          <w:sz w:val="24"/>
          <w:lang w:val="es-GT"/>
        </w:rPr>
      </w:pPr>
      <w:r w:rsidRPr="001A0F78">
        <w:rPr>
          <w:b/>
          <w:sz w:val="28"/>
          <w:lang w:val="es-GT"/>
        </w:rPr>
        <w:t>Estimaciones Macroeconómicas</w:t>
      </w:r>
    </w:p>
    <w:p w:rsidR="00273690" w:rsidRDefault="00375FF8">
      <w:pPr>
        <w:rPr>
          <w:sz w:val="24"/>
          <w:lang w:val="es-GT"/>
        </w:rPr>
      </w:pPr>
      <w:r>
        <w:rPr>
          <w:sz w:val="24"/>
          <w:lang w:val="es-GT"/>
        </w:rPr>
        <w:t>A continuación, e</w:t>
      </w:r>
      <w:r w:rsidR="008466F2">
        <w:rPr>
          <w:sz w:val="24"/>
          <w:lang w:val="es-GT"/>
        </w:rPr>
        <w:t>l escenario macroeco</w:t>
      </w:r>
      <w:r w:rsidR="001173D1">
        <w:rPr>
          <w:sz w:val="24"/>
          <w:lang w:val="es-GT"/>
        </w:rPr>
        <w:t>nómico para el período 2020</w:t>
      </w:r>
      <w:r w:rsidR="0073127D">
        <w:rPr>
          <w:sz w:val="24"/>
          <w:lang w:val="es-GT"/>
        </w:rPr>
        <w:t>-202</w:t>
      </w:r>
      <w:r w:rsidR="001173D1">
        <w:rPr>
          <w:sz w:val="24"/>
          <w:lang w:val="es-GT"/>
        </w:rPr>
        <w:t>4</w:t>
      </w:r>
      <w:r>
        <w:rPr>
          <w:sz w:val="24"/>
          <w:lang w:val="es-GT"/>
        </w:rPr>
        <w:t>:</w:t>
      </w:r>
    </w:p>
    <w:p w:rsidR="0052729F" w:rsidRDefault="0052729F">
      <w:pPr>
        <w:rPr>
          <w:sz w:val="24"/>
          <w:lang w:val="es-GT"/>
        </w:rPr>
      </w:pPr>
    </w:p>
    <w:p w:rsidR="00273690" w:rsidRPr="006C5EC9" w:rsidRDefault="00A27455" w:rsidP="002F7E3A">
      <w:pPr>
        <w:jc w:val="both"/>
        <w:rPr>
          <w:rFonts w:cs="Arial"/>
          <w:b/>
          <w:bCs/>
          <w:sz w:val="24"/>
          <w:szCs w:val="24"/>
        </w:rPr>
      </w:pPr>
      <w:r>
        <w:rPr>
          <w:rFonts w:cs="Arial"/>
          <w:b/>
          <w:bCs/>
          <w:sz w:val="24"/>
          <w:szCs w:val="24"/>
        </w:rPr>
        <w:t xml:space="preserve">3.1 </w:t>
      </w:r>
      <w:r w:rsidR="00C5480B">
        <w:rPr>
          <w:rFonts w:cs="Arial"/>
          <w:b/>
          <w:bCs/>
          <w:sz w:val="24"/>
          <w:szCs w:val="24"/>
        </w:rPr>
        <w:t xml:space="preserve">Crecimiento </w:t>
      </w:r>
      <w:r w:rsidR="000F7C55">
        <w:rPr>
          <w:rFonts w:cs="Arial"/>
          <w:b/>
          <w:bCs/>
          <w:sz w:val="24"/>
          <w:szCs w:val="24"/>
        </w:rPr>
        <w:t xml:space="preserve">del </w:t>
      </w:r>
      <w:r w:rsidR="00C5480B">
        <w:rPr>
          <w:rFonts w:cs="Arial"/>
          <w:b/>
          <w:bCs/>
          <w:sz w:val="24"/>
          <w:szCs w:val="24"/>
        </w:rPr>
        <w:t>PIB</w:t>
      </w:r>
    </w:p>
    <w:p w:rsidR="002710DC" w:rsidRDefault="002710DC" w:rsidP="00FC38C4">
      <w:pPr>
        <w:spacing w:after="0" w:line="240" w:lineRule="auto"/>
        <w:jc w:val="both"/>
        <w:rPr>
          <w:rFonts w:cs="Arial"/>
          <w:sz w:val="24"/>
          <w:szCs w:val="24"/>
        </w:rPr>
      </w:pPr>
      <w:proofErr w:type="gramStart"/>
      <w:r w:rsidRPr="002710DC">
        <w:rPr>
          <w:rFonts w:cs="Arial"/>
          <w:sz w:val="24"/>
          <w:szCs w:val="24"/>
        </w:rPr>
        <w:t>De acuerdo a</w:t>
      </w:r>
      <w:proofErr w:type="gramEnd"/>
      <w:r w:rsidRPr="002710DC">
        <w:rPr>
          <w:rFonts w:cs="Arial"/>
          <w:sz w:val="24"/>
          <w:szCs w:val="24"/>
        </w:rPr>
        <w:t xml:space="preserve"> las estimaciones del Banco de Guatemala al mes de </w:t>
      </w:r>
      <w:r w:rsidR="00B912B7">
        <w:rPr>
          <w:rFonts w:cs="Arial"/>
          <w:sz w:val="24"/>
          <w:szCs w:val="24"/>
        </w:rPr>
        <w:t xml:space="preserve">abril </w:t>
      </w:r>
      <w:r w:rsidR="007710A6">
        <w:rPr>
          <w:rFonts w:cs="Arial"/>
          <w:sz w:val="24"/>
          <w:szCs w:val="24"/>
        </w:rPr>
        <w:t xml:space="preserve">de </w:t>
      </w:r>
      <w:r w:rsidR="00B912B7">
        <w:rPr>
          <w:rFonts w:cs="Arial"/>
          <w:sz w:val="24"/>
          <w:szCs w:val="24"/>
        </w:rPr>
        <w:t>2019</w:t>
      </w:r>
      <w:r w:rsidRPr="002710DC">
        <w:rPr>
          <w:rFonts w:cs="Arial"/>
          <w:sz w:val="24"/>
          <w:szCs w:val="24"/>
        </w:rPr>
        <w:t>, el crecimiento interanual del Producto Interno</w:t>
      </w:r>
      <w:r w:rsidR="00FC38C4">
        <w:rPr>
          <w:rFonts w:cs="Arial"/>
          <w:sz w:val="24"/>
          <w:szCs w:val="24"/>
        </w:rPr>
        <w:t xml:space="preserve"> Bruto </w:t>
      </w:r>
      <w:r w:rsidR="007033B8">
        <w:rPr>
          <w:rFonts w:cs="Arial"/>
          <w:sz w:val="24"/>
          <w:szCs w:val="24"/>
        </w:rPr>
        <w:t xml:space="preserve">(PIB) </w:t>
      </w:r>
      <w:r w:rsidR="00FC38C4">
        <w:rPr>
          <w:rFonts w:cs="Arial"/>
          <w:sz w:val="24"/>
          <w:szCs w:val="24"/>
        </w:rPr>
        <w:t xml:space="preserve">generado por las distintas actividades económicas </w:t>
      </w:r>
      <w:r w:rsidRPr="002710DC">
        <w:rPr>
          <w:rFonts w:cs="Arial"/>
          <w:sz w:val="24"/>
          <w:szCs w:val="24"/>
        </w:rPr>
        <w:t xml:space="preserve">como la agricultura, ganadería, pesca, silvicultura, minería, industria manufacturera, de alimentos, de </w:t>
      </w:r>
      <w:r w:rsidR="007710A6">
        <w:rPr>
          <w:rFonts w:cs="Arial"/>
          <w:sz w:val="24"/>
          <w:szCs w:val="24"/>
        </w:rPr>
        <w:t>calzado</w:t>
      </w:r>
      <w:r w:rsidRPr="002710DC">
        <w:rPr>
          <w:rFonts w:cs="Arial"/>
          <w:sz w:val="24"/>
          <w:szCs w:val="24"/>
        </w:rPr>
        <w:t xml:space="preserve">, </w:t>
      </w:r>
      <w:r w:rsidR="00B525A2">
        <w:rPr>
          <w:rFonts w:cs="Arial"/>
          <w:sz w:val="24"/>
          <w:szCs w:val="24"/>
        </w:rPr>
        <w:t>y otras actividades</w:t>
      </w:r>
      <w:r w:rsidR="00FC38C4">
        <w:rPr>
          <w:rFonts w:cs="Arial"/>
          <w:sz w:val="24"/>
          <w:szCs w:val="24"/>
        </w:rPr>
        <w:t xml:space="preserve">, </w:t>
      </w:r>
      <w:r w:rsidR="003E0B00">
        <w:rPr>
          <w:rFonts w:cs="Arial"/>
          <w:sz w:val="24"/>
          <w:szCs w:val="24"/>
        </w:rPr>
        <w:t xml:space="preserve">se estima que </w:t>
      </w:r>
      <w:r w:rsidR="00FC38C4">
        <w:rPr>
          <w:rFonts w:cs="Arial"/>
          <w:sz w:val="24"/>
          <w:szCs w:val="24"/>
        </w:rPr>
        <w:t>en 20</w:t>
      </w:r>
      <w:r w:rsidR="00B912B7">
        <w:rPr>
          <w:rFonts w:cs="Arial"/>
          <w:sz w:val="24"/>
          <w:szCs w:val="24"/>
        </w:rPr>
        <w:t>20</w:t>
      </w:r>
      <w:r w:rsidR="00FC38C4">
        <w:rPr>
          <w:rFonts w:cs="Arial"/>
          <w:sz w:val="24"/>
          <w:szCs w:val="24"/>
        </w:rPr>
        <w:t xml:space="preserve"> </w:t>
      </w:r>
      <w:r w:rsidRPr="002710DC">
        <w:rPr>
          <w:rFonts w:cs="Arial"/>
          <w:sz w:val="24"/>
          <w:szCs w:val="24"/>
        </w:rPr>
        <w:t>la economía podría crecer entre 3.</w:t>
      </w:r>
      <w:r w:rsidR="00B912B7">
        <w:rPr>
          <w:rFonts w:cs="Arial"/>
          <w:sz w:val="24"/>
          <w:szCs w:val="24"/>
        </w:rPr>
        <w:t>0</w:t>
      </w:r>
      <w:r w:rsidRPr="002710DC">
        <w:rPr>
          <w:rFonts w:cs="Arial"/>
          <w:sz w:val="24"/>
          <w:szCs w:val="24"/>
        </w:rPr>
        <w:t xml:space="preserve">% y </w:t>
      </w:r>
      <w:r w:rsidR="00FC38C4">
        <w:rPr>
          <w:rFonts w:cs="Arial"/>
          <w:sz w:val="24"/>
          <w:szCs w:val="24"/>
        </w:rPr>
        <w:t>4.</w:t>
      </w:r>
      <w:r w:rsidR="00B912B7">
        <w:rPr>
          <w:rFonts w:cs="Arial"/>
          <w:sz w:val="24"/>
          <w:szCs w:val="24"/>
        </w:rPr>
        <w:t>0</w:t>
      </w:r>
      <w:r w:rsidRPr="002710DC">
        <w:rPr>
          <w:rFonts w:cs="Arial"/>
          <w:sz w:val="24"/>
          <w:szCs w:val="24"/>
        </w:rPr>
        <w:t>%.</w:t>
      </w:r>
    </w:p>
    <w:p w:rsidR="0052729F" w:rsidRDefault="0052729F" w:rsidP="00FC38C4">
      <w:pPr>
        <w:spacing w:after="0" w:line="240" w:lineRule="auto"/>
        <w:jc w:val="both"/>
        <w:rPr>
          <w:rFonts w:cs="Arial"/>
          <w:sz w:val="24"/>
          <w:szCs w:val="24"/>
        </w:rPr>
      </w:pPr>
    </w:p>
    <w:p w:rsidR="0052729F" w:rsidRPr="002710DC" w:rsidRDefault="0052729F" w:rsidP="00FC38C4">
      <w:pPr>
        <w:spacing w:after="0" w:line="240" w:lineRule="auto"/>
        <w:jc w:val="both"/>
        <w:rPr>
          <w:rFonts w:cs="Arial"/>
          <w:sz w:val="24"/>
          <w:szCs w:val="24"/>
        </w:rPr>
      </w:pPr>
    </w:p>
    <w:p w:rsidR="000B0948" w:rsidRDefault="003B0CE9" w:rsidP="003E0978">
      <w:pPr>
        <w:jc w:val="center"/>
        <w:outlineLvl w:val="0"/>
        <w:rPr>
          <w:b/>
          <w:bCs/>
          <w:sz w:val="24"/>
          <w:szCs w:val="24"/>
        </w:rPr>
      </w:pPr>
      <w:r w:rsidRPr="004B388F">
        <w:rPr>
          <w:b/>
          <w:bCs/>
          <w:sz w:val="24"/>
          <w:szCs w:val="24"/>
        </w:rPr>
        <w:t xml:space="preserve">Gráfica No. </w:t>
      </w:r>
      <w:r>
        <w:rPr>
          <w:b/>
          <w:bCs/>
          <w:sz w:val="24"/>
          <w:szCs w:val="24"/>
        </w:rPr>
        <w:t>1</w:t>
      </w:r>
    </w:p>
    <w:p w:rsidR="00B93F27" w:rsidRDefault="002236EE" w:rsidP="0052729F">
      <w:pPr>
        <w:jc w:val="center"/>
        <w:rPr>
          <w:szCs w:val="24"/>
        </w:rPr>
      </w:pPr>
      <w:r w:rsidRPr="00B93F27">
        <w:rPr>
          <w:szCs w:val="24"/>
        </w:rPr>
        <w:pict>
          <v:shape id="_x0000_i1028" type="#_x0000_t75" style="width:382.8pt;height:279pt">
            <v:imagedata r:id="rId13" o:title=""/>
          </v:shape>
        </w:pict>
      </w:r>
    </w:p>
    <w:p w:rsidR="0052729F" w:rsidRDefault="0052729F" w:rsidP="000B0948">
      <w:pPr>
        <w:jc w:val="center"/>
        <w:rPr>
          <w:b/>
          <w:bCs/>
          <w:sz w:val="24"/>
          <w:szCs w:val="24"/>
        </w:rPr>
      </w:pPr>
    </w:p>
    <w:p w:rsidR="0052729F" w:rsidRDefault="0052729F" w:rsidP="000B0948">
      <w:pPr>
        <w:jc w:val="center"/>
        <w:rPr>
          <w:b/>
          <w:bCs/>
          <w:sz w:val="24"/>
          <w:szCs w:val="24"/>
        </w:rPr>
      </w:pPr>
    </w:p>
    <w:p w:rsidR="007033B8" w:rsidRDefault="007033B8" w:rsidP="0052729F">
      <w:pPr>
        <w:spacing w:after="0"/>
        <w:jc w:val="both"/>
        <w:rPr>
          <w:szCs w:val="24"/>
        </w:rPr>
      </w:pPr>
      <w:r>
        <w:rPr>
          <w:szCs w:val="24"/>
        </w:rPr>
        <w:t xml:space="preserve">El BANGUAT en sus proyecciones del PIB nominal y real, muestra escenarios bajo, medio y alto para el período en cuestión. </w:t>
      </w:r>
    </w:p>
    <w:p w:rsidR="0052729F" w:rsidRDefault="0052729F" w:rsidP="0052729F">
      <w:pPr>
        <w:spacing w:after="0"/>
        <w:jc w:val="both"/>
        <w:rPr>
          <w:szCs w:val="24"/>
        </w:rPr>
      </w:pPr>
      <w:r>
        <w:rPr>
          <w:szCs w:val="24"/>
        </w:rPr>
        <w:br w:type="page"/>
      </w:r>
    </w:p>
    <w:p w:rsidR="00F31224" w:rsidRDefault="00F31224" w:rsidP="0052729F">
      <w:pPr>
        <w:spacing w:after="0"/>
        <w:jc w:val="both"/>
        <w:rPr>
          <w:szCs w:val="24"/>
        </w:rPr>
      </w:pPr>
    </w:p>
    <w:p w:rsidR="007033B8" w:rsidRDefault="007033B8" w:rsidP="003E0978">
      <w:pPr>
        <w:spacing w:after="0"/>
        <w:jc w:val="center"/>
        <w:outlineLvl w:val="0"/>
        <w:rPr>
          <w:b/>
          <w:szCs w:val="24"/>
        </w:rPr>
      </w:pPr>
      <w:r w:rsidRPr="00316868">
        <w:rPr>
          <w:b/>
          <w:szCs w:val="24"/>
        </w:rPr>
        <w:t xml:space="preserve">Tabla No. </w:t>
      </w:r>
      <w:r w:rsidR="00316868" w:rsidRPr="00316868">
        <w:rPr>
          <w:b/>
          <w:szCs w:val="24"/>
        </w:rPr>
        <w:t>1</w:t>
      </w:r>
    </w:p>
    <w:p w:rsidR="00F31224" w:rsidRDefault="00F31224" w:rsidP="0052729F">
      <w:pPr>
        <w:spacing w:after="0"/>
        <w:jc w:val="center"/>
        <w:rPr>
          <w:b/>
          <w:szCs w:val="24"/>
        </w:rPr>
      </w:pPr>
    </w:p>
    <w:p w:rsidR="00E33B82" w:rsidRDefault="00E33B82" w:rsidP="00316868">
      <w:pPr>
        <w:jc w:val="center"/>
        <w:rPr>
          <w:b/>
          <w:szCs w:val="24"/>
        </w:rPr>
      </w:pPr>
      <w:r w:rsidRPr="00E33B82">
        <w:rPr>
          <w:szCs w:val="24"/>
        </w:rPr>
        <w:pict>
          <v:shape id="_x0000_i1029" type="#_x0000_t75" style="width:425.4pt;height:316.8pt">
            <v:imagedata r:id="rId14" o:title=""/>
          </v:shape>
        </w:pict>
      </w:r>
    </w:p>
    <w:p w:rsidR="00655891" w:rsidRPr="00316868" w:rsidRDefault="00655891" w:rsidP="00316868">
      <w:pPr>
        <w:jc w:val="center"/>
        <w:rPr>
          <w:b/>
          <w:szCs w:val="24"/>
        </w:rPr>
      </w:pPr>
    </w:p>
    <w:p w:rsidR="00560EC2" w:rsidRDefault="00560EC2" w:rsidP="000B0948">
      <w:pPr>
        <w:jc w:val="center"/>
        <w:rPr>
          <w:szCs w:val="24"/>
        </w:rPr>
      </w:pPr>
    </w:p>
    <w:p w:rsidR="00316868" w:rsidRDefault="00316868" w:rsidP="000B0948">
      <w:pPr>
        <w:jc w:val="center"/>
        <w:rPr>
          <w:bCs/>
          <w:sz w:val="24"/>
          <w:szCs w:val="24"/>
        </w:rPr>
      </w:pPr>
    </w:p>
    <w:p w:rsidR="00162B1F" w:rsidRPr="00C33AFB" w:rsidRDefault="00C33AFB" w:rsidP="00162B1F">
      <w:pPr>
        <w:jc w:val="both"/>
        <w:rPr>
          <w:b/>
          <w:szCs w:val="24"/>
        </w:rPr>
      </w:pPr>
      <w:r w:rsidRPr="00C33AFB">
        <w:rPr>
          <w:b/>
          <w:sz w:val="24"/>
          <w:szCs w:val="24"/>
        </w:rPr>
        <w:t xml:space="preserve">3.2 </w:t>
      </w:r>
      <w:r w:rsidR="00162B1F" w:rsidRPr="00C33AFB">
        <w:rPr>
          <w:b/>
          <w:sz w:val="24"/>
          <w:szCs w:val="24"/>
        </w:rPr>
        <w:t>Importaciones</w:t>
      </w:r>
      <w:r w:rsidR="000B0360" w:rsidRPr="00C33AFB">
        <w:rPr>
          <w:b/>
          <w:sz w:val="24"/>
          <w:szCs w:val="24"/>
        </w:rPr>
        <w:t xml:space="preserve"> y Exportaciones</w:t>
      </w:r>
      <w:r w:rsidR="00162B1F" w:rsidRPr="00C33AFB">
        <w:rPr>
          <w:b/>
          <w:sz w:val="24"/>
          <w:szCs w:val="24"/>
        </w:rPr>
        <w:t xml:space="preserve"> FOB:</w:t>
      </w:r>
    </w:p>
    <w:p w:rsidR="00162B1F" w:rsidRDefault="000B0360" w:rsidP="00162B1F">
      <w:pPr>
        <w:jc w:val="both"/>
        <w:rPr>
          <w:noProof/>
          <w:sz w:val="24"/>
          <w:szCs w:val="24"/>
          <w:lang w:eastAsia="es-ES"/>
        </w:rPr>
      </w:pPr>
      <w:r>
        <w:rPr>
          <w:noProof/>
          <w:sz w:val="24"/>
          <w:szCs w:val="24"/>
          <w:lang w:eastAsia="es-ES"/>
        </w:rPr>
        <w:t xml:space="preserve">Comercialmente, las mercancías que ingresan y las que salen del país </w:t>
      </w:r>
      <w:r w:rsidR="003D6545">
        <w:rPr>
          <w:noProof/>
          <w:sz w:val="24"/>
          <w:szCs w:val="24"/>
          <w:lang w:eastAsia="es-ES"/>
        </w:rPr>
        <w:t xml:space="preserve">al sobrepasar la borda del buque (ó “franco a bordo”), cuyo costo y riesgos de pérdida o daño de las mismas corresponde al comprador, se estima que </w:t>
      </w:r>
      <w:r w:rsidR="004F41FA">
        <w:rPr>
          <w:noProof/>
          <w:sz w:val="24"/>
          <w:szCs w:val="24"/>
          <w:lang w:eastAsia="es-ES"/>
        </w:rPr>
        <w:t xml:space="preserve">podrían alcanzar </w:t>
      </w:r>
      <w:r w:rsidR="003D6545">
        <w:rPr>
          <w:noProof/>
          <w:sz w:val="24"/>
          <w:szCs w:val="24"/>
          <w:lang w:eastAsia="es-ES"/>
        </w:rPr>
        <w:t xml:space="preserve">un crecimiento entre </w:t>
      </w:r>
      <w:r w:rsidR="004F41FA">
        <w:rPr>
          <w:noProof/>
          <w:sz w:val="24"/>
          <w:szCs w:val="24"/>
          <w:lang w:eastAsia="es-ES"/>
        </w:rPr>
        <w:t>6</w:t>
      </w:r>
      <w:r w:rsidR="0052729F">
        <w:rPr>
          <w:noProof/>
          <w:sz w:val="24"/>
          <w:szCs w:val="24"/>
          <w:lang w:eastAsia="es-ES"/>
        </w:rPr>
        <w:t>.5</w:t>
      </w:r>
      <w:r w:rsidR="003D6545">
        <w:rPr>
          <w:noProof/>
          <w:sz w:val="24"/>
          <w:szCs w:val="24"/>
          <w:lang w:eastAsia="es-ES"/>
        </w:rPr>
        <w:t xml:space="preserve">% y </w:t>
      </w:r>
      <w:r w:rsidR="004F41FA">
        <w:rPr>
          <w:noProof/>
          <w:sz w:val="24"/>
          <w:szCs w:val="24"/>
          <w:lang w:eastAsia="es-ES"/>
        </w:rPr>
        <w:t>9</w:t>
      </w:r>
      <w:r w:rsidR="00676B57">
        <w:rPr>
          <w:noProof/>
          <w:sz w:val="24"/>
          <w:szCs w:val="24"/>
          <w:lang w:eastAsia="es-ES"/>
        </w:rPr>
        <w:t>.</w:t>
      </w:r>
      <w:r w:rsidR="0052729F">
        <w:rPr>
          <w:noProof/>
          <w:sz w:val="24"/>
          <w:szCs w:val="24"/>
          <w:lang w:eastAsia="es-ES"/>
        </w:rPr>
        <w:t>5</w:t>
      </w:r>
      <w:r w:rsidR="003D6545">
        <w:rPr>
          <w:noProof/>
          <w:sz w:val="24"/>
          <w:szCs w:val="24"/>
          <w:lang w:eastAsia="es-ES"/>
        </w:rPr>
        <w:t xml:space="preserve">% en </w:t>
      </w:r>
      <w:r w:rsidR="004F41FA">
        <w:rPr>
          <w:noProof/>
          <w:sz w:val="24"/>
          <w:szCs w:val="24"/>
          <w:lang w:eastAsia="es-ES"/>
        </w:rPr>
        <w:t>20</w:t>
      </w:r>
      <w:r w:rsidR="0052729F">
        <w:rPr>
          <w:noProof/>
          <w:sz w:val="24"/>
          <w:szCs w:val="24"/>
          <w:lang w:eastAsia="es-ES"/>
        </w:rPr>
        <w:t>20</w:t>
      </w:r>
      <w:r w:rsidR="004F41FA">
        <w:rPr>
          <w:noProof/>
          <w:sz w:val="24"/>
          <w:szCs w:val="24"/>
          <w:lang w:eastAsia="es-ES"/>
        </w:rPr>
        <w:t xml:space="preserve"> y hasta 10.0% </w:t>
      </w:r>
      <w:r w:rsidR="00243BAD">
        <w:rPr>
          <w:noProof/>
          <w:sz w:val="24"/>
          <w:szCs w:val="24"/>
          <w:lang w:eastAsia="es-ES"/>
        </w:rPr>
        <w:t>en</w:t>
      </w:r>
      <w:r w:rsidR="004F41FA">
        <w:rPr>
          <w:noProof/>
          <w:sz w:val="24"/>
          <w:szCs w:val="24"/>
          <w:lang w:eastAsia="es-ES"/>
        </w:rPr>
        <w:t xml:space="preserve"> 202</w:t>
      </w:r>
      <w:r w:rsidR="0052729F">
        <w:rPr>
          <w:noProof/>
          <w:sz w:val="24"/>
          <w:szCs w:val="24"/>
          <w:lang w:eastAsia="es-ES"/>
        </w:rPr>
        <w:t>4</w:t>
      </w:r>
      <w:r w:rsidR="004F41FA">
        <w:rPr>
          <w:noProof/>
          <w:sz w:val="24"/>
          <w:szCs w:val="24"/>
          <w:lang w:eastAsia="es-ES"/>
        </w:rPr>
        <w:t>.</w:t>
      </w:r>
    </w:p>
    <w:p w:rsidR="003B0CE9" w:rsidRDefault="00316868" w:rsidP="003E0978">
      <w:pPr>
        <w:jc w:val="center"/>
        <w:outlineLvl w:val="0"/>
        <w:rPr>
          <w:b/>
          <w:bCs/>
          <w:sz w:val="24"/>
          <w:szCs w:val="24"/>
        </w:rPr>
      </w:pPr>
      <w:r>
        <w:rPr>
          <w:noProof/>
          <w:sz w:val="24"/>
          <w:szCs w:val="24"/>
          <w:lang w:eastAsia="es-ES"/>
        </w:rPr>
        <w:br w:type="page"/>
      </w:r>
      <w:r w:rsidR="003B0CE9" w:rsidRPr="004B388F">
        <w:rPr>
          <w:b/>
          <w:bCs/>
          <w:sz w:val="24"/>
          <w:szCs w:val="24"/>
        </w:rPr>
        <w:lastRenderedPageBreak/>
        <w:t xml:space="preserve">Gráfica No. </w:t>
      </w:r>
      <w:r w:rsidR="003B0CE9">
        <w:rPr>
          <w:b/>
          <w:bCs/>
          <w:sz w:val="24"/>
          <w:szCs w:val="24"/>
        </w:rPr>
        <w:t>2</w:t>
      </w:r>
    </w:p>
    <w:p w:rsidR="00B93F27" w:rsidRDefault="00F31224" w:rsidP="003B0CE9">
      <w:pPr>
        <w:jc w:val="center"/>
        <w:rPr>
          <w:b/>
          <w:bCs/>
          <w:sz w:val="24"/>
          <w:szCs w:val="24"/>
        </w:rPr>
      </w:pPr>
      <w:r w:rsidRPr="00B93F27">
        <w:rPr>
          <w:szCs w:val="24"/>
        </w:rPr>
        <w:pict>
          <v:shape id="_x0000_i1030" type="#_x0000_t75" style="width:378.6pt;height:275.4pt">
            <v:imagedata r:id="rId15" o:title=""/>
          </v:shape>
        </w:pict>
      </w:r>
    </w:p>
    <w:p w:rsidR="004D0B37" w:rsidRDefault="003B0CE9" w:rsidP="003E0978">
      <w:pPr>
        <w:jc w:val="center"/>
        <w:outlineLvl w:val="0"/>
        <w:rPr>
          <w:b/>
          <w:bCs/>
          <w:sz w:val="24"/>
          <w:szCs w:val="24"/>
        </w:rPr>
      </w:pPr>
      <w:r w:rsidRPr="004B388F">
        <w:rPr>
          <w:b/>
          <w:bCs/>
          <w:sz w:val="24"/>
          <w:szCs w:val="24"/>
        </w:rPr>
        <w:t xml:space="preserve">Gráfica No. </w:t>
      </w:r>
      <w:r>
        <w:rPr>
          <w:b/>
          <w:bCs/>
          <w:sz w:val="24"/>
          <w:szCs w:val="24"/>
        </w:rPr>
        <w:t>3</w:t>
      </w:r>
    </w:p>
    <w:p w:rsidR="00EE2039" w:rsidRDefault="00F31224" w:rsidP="004D0B37">
      <w:pPr>
        <w:jc w:val="center"/>
        <w:rPr>
          <w:b/>
          <w:bCs/>
          <w:sz w:val="24"/>
          <w:szCs w:val="24"/>
        </w:rPr>
      </w:pPr>
      <w:r w:rsidRPr="00EE2039">
        <w:rPr>
          <w:szCs w:val="24"/>
        </w:rPr>
        <w:pict>
          <v:shape id="_x0000_i1031" type="#_x0000_t75" style="width:381pt;height:310.8pt">
            <v:imagedata r:id="rId16" o:title=""/>
          </v:shape>
        </w:pict>
      </w:r>
    </w:p>
    <w:p w:rsidR="00AA083E" w:rsidRPr="00E60AA5" w:rsidRDefault="00C33AFB" w:rsidP="00984DEC">
      <w:pPr>
        <w:rPr>
          <w:b/>
          <w:sz w:val="24"/>
          <w:lang w:val="es-GT"/>
        </w:rPr>
      </w:pPr>
      <w:r>
        <w:rPr>
          <w:b/>
          <w:sz w:val="24"/>
          <w:lang w:val="es-GT"/>
        </w:rPr>
        <w:lastRenderedPageBreak/>
        <w:t xml:space="preserve">3.3 </w:t>
      </w:r>
      <w:r w:rsidR="00AA083E">
        <w:rPr>
          <w:b/>
          <w:sz w:val="24"/>
          <w:lang w:val="es-GT"/>
        </w:rPr>
        <w:t>Inflación</w:t>
      </w:r>
    </w:p>
    <w:p w:rsidR="000A142E" w:rsidRDefault="00AA083E" w:rsidP="00967F9C">
      <w:pPr>
        <w:jc w:val="both"/>
        <w:rPr>
          <w:sz w:val="24"/>
          <w:lang w:val="es-GT"/>
        </w:rPr>
      </w:pPr>
      <w:r>
        <w:rPr>
          <w:sz w:val="24"/>
          <w:lang w:val="es-GT"/>
        </w:rPr>
        <w:t>Según las estimaciones del Banco de Guatemala, el nivel inflacionario se estima que oscilará entre 3.0% y 5.0</w:t>
      </w:r>
      <w:proofErr w:type="gramStart"/>
      <w:r>
        <w:rPr>
          <w:sz w:val="24"/>
          <w:lang w:val="es-GT"/>
        </w:rPr>
        <w:t>%  para</w:t>
      </w:r>
      <w:proofErr w:type="gramEnd"/>
      <w:r>
        <w:rPr>
          <w:sz w:val="24"/>
          <w:lang w:val="es-GT"/>
        </w:rPr>
        <w:t xml:space="preserve"> el período 20</w:t>
      </w:r>
      <w:r w:rsidR="00F31224">
        <w:rPr>
          <w:sz w:val="24"/>
          <w:lang w:val="es-GT"/>
        </w:rPr>
        <w:t>20</w:t>
      </w:r>
      <w:r>
        <w:rPr>
          <w:sz w:val="24"/>
          <w:lang w:val="es-GT"/>
        </w:rPr>
        <w:t>-202</w:t>
      </w:r>
      <w:r w:rsidR="00F31224">
        <w:rPr>
          <w:sz w:val="24"/>
          <w:lang w:val="es-GT"/>
        </w:rPr>
        <w:t>4</w:t>
      </w:r>
      <w:r w:rsidR="003B0CE9">
        <w:rPr>
          <w:sz w:val="24"/>
          <w:lang w:val="es-GT"/>
        </w:rPr>
        <w:t>.</w:t>
      </w:r>
    </w:p>
    <w:p w:rsidR="003B0CE9" w:rsidRDefault="003B0CE9" w:rsidP="003E0978">
      <w:pPr>
        <w:jc w:val="center"/>
        <w:outlineLvl w:val="0"/>
        <w:rPr>
          <w:b/>
          <w:bCs/>
          <w:sz w:val="24"/>
          <w:szCs w:val="24"/>
        </w:rPr>
      </w:pPr>
      <w:r w:rsidRPr="004B388F">
        <w:rPr>
          <w:b/>
          <w:bCs/>
          <w:sz w:val="24"/>
          <w:szCs w:val="24"/>
        </w:rPr>
        <w:t xml:space="preserve">Gráfica No. </w:t>
      </w:r>
      <w:r>
        <w:rPr>
          <w:b/>
          <w:bCs/>
          <w:sz w:val="24"/>
          <w:szCs w:val="24"/>
        </w:rPr>
        <w:t>4</w:t>
      </w:r>
    </w:p>
    <w:p w:rsidR="00FC5ED0" w:rsidRDefault="00F31224" w:rsidP="003B0CE9">
      <w:pPr>
        <w:jc w:val="center"/>
        <w:rPr>
          <w:b/>
          <w:bCs/>
          <w:sz w:val="24"/>
          <w:szCs w:val="24"/>
        </w:rPr>
      </w:pPr>
      <w:r w:rsidRPr="00FC5ED0">
        <w:rPr>
          <w:szCs w:val="24"/>
        </w:rPr>
        <w:pict>
          <v:shape id="_x0000_i1032" type="#_x0000_t75" style="width:377.4pt;height:252pt">
            <v:imagedata r:id="rId17" o:title=""/>
          </v:shape>
        </w:pict>
      </w:r>
    </w:p>
    <w:p w:rsidR="000A2566" w:rsidRDefault="000A2566" w:rsidP="000A2566">
      <w:pPr>
        <w:numPr>
          <w:ilvl w:val="1"/>
          <w:numId w:val="12"/>
        </w:numPr>
        <w:jc w:val="both"/>
        <w:rPr>
          <w:b/>
          <w:bCs/>
          <w:sz w:val="24"/>
        </w:rPr>
      </w:pPr>
      <w:r w:rsidRPr="009421BB">
        <w:rPr>
          <w:b/>
          <w:bCs/>
          <w:sz w:val="24"/>
        </w:rPr>
        <w:t>Tasa de interés:</w:t>
      </w:r>
    </w:p>
    <w:p w:rsidR="000B3B5E" w:rsidRDefault="003A7315" w:rsidP="003A7315">
      <w:pPr>
        <w:ind w:left="360"/>
        <w:jc w:val="both"/>
        <w:rPr>
          <w:bCs/>
          <w:sz w:val="24"/>
        </w:rPr>
      </w:pPr>
      <w:proofErr w:type="gramStart"/>
      <w:r w:rsidRPr="003A7315">
        <w:rPr>
          <w:bCs/>
          <w:sz w:val="24"/>
        </w:rPr>
        <w:t xml:space="preserve">De acuerdo </w:t>
      </w:r>
      <w:r>
        <w:rPr>
          <w:bCs/>
          <w:sz w:val="24"/>
        </w:rPr>
        <w:t>a</w:t>
      </w:r>
      <w:proofErr w:type="gramEnd"/>
      <w:r>
        <w:rPr>
          <w:bCs/>
          <w:sz w:val="24"/>
        </w:rPr>
        <w:t xml:space="preserve"> las estimaciones del Banco de Guatemala, la tasa </w:t>
      </w:r>
      <w:r w:rsidR="000B3B5E">
        <w:rPr>
          <w:bCs/>
          <w:sz w:val="24"/>
        </w:rPr>
        <w:t xml:space="preserve">de interés activa </w:t>
      </w:r>
      <w:r w:rsidR="009011A3">
        <w:rPr>
          <w:bCs/>
          <w:sz w:val="24"/>
        </w:rPr>
        <w:t>(</w:t>
      </w:r>
      <w:r w:rsidR="000B3B5E">
        <w:rPr>
          <w:bCs/>
          <w:sz w:val="24"/>
        </w:rPr>
        <w:t>que es la que cobran los bancos por el dinero que prestan a los demandantes de préstamos</w:t>
      </w:r>
      <w:r w:rsidR="009011A3">
        <w:rPr>
          <w:bCs/>
          <w:sz w:val="24"/>
        </w:rPr>
        <w:t>)</w:t>
      </w:r>
      <w:r w:rsidR="000B3B5E">
        <w:rPr>
          <w:bCs/>
          <w:sz w:val="24"/>
        </w:rPr>
        <w:t xml:space="preserve">, así como la tasa pasiva </w:t>
      </w:r>
      <w:r w:rsidR="009011A3">
        <w:rPr>
          <w:bCs/>
          <w:sz w:val="24"/>
        </w:rPr>
        <w:t>(que se cobra por costos de operación del sistema financiero), se considera que se mantendrá</w:t>
      </w:r>
      <w:r w:rsidR="0005733C">
        <w:rPr>
          <w:bCs/>
          <w:sz w:val="24"/>
        </w:rPr>
        <w:t>n</w:t>
      </w:r>
      <w:r w:rsidR="009011A3">
        <w:rPr>
          <w:bCs/>
          <w:sz w:val="24"/>
        </w:rPr>
        <w:t xml:space="preserve"> estable</w:t>
      </w:r>
      <w:r w:rsidR="0005733C">
        <w:rPr>
          <w:bCs/>
          <w:sz w:val="24"/>
        </w:rPr>
        <w:t>s</w:t>
      </w:r>
      <w:r w:rsidR="009011A3">
        <w:rPr>
          <w:bCs/>
          <w:sz w:val="24"/>
        </w:rPr>
        <w:t xml:space="preserve"> </w:t>
      </w:r>
      <w:r w:rsidR="007C59B7">
        <w:rPr>
          <w:bCs/>
          <w:sz w:val="24"/>
        </w:rPr>
        <w:t>en 2018 y 2019.</w:t>
      </w:r>
    </w:p>
    <w:p w:rsidR="00B51320" w:rsidRDefault="00B51320" w:rsidP="003E0978">
      <w:pPr>
        <w:spacing w:after="0" w:line="240" w:lineRule="auto"/>
        <w:ind w:left="360"/>
        <w:jc w:val="center"/>
        <w:outlineLvl w:val="0"/>
        <w:rPr>
          <w:b/>
          <w:bCs/>
          <w:sz w:val="24"/>
        </w:rPr>
      </w:pPr>
      <w:r w:rsidRPr="000C3415">
        <w:rPr>
          <w:b/>
          <w:bCs/>
          <w:sz w:val="24"/>
        </w:rPr>
        <w:t>T</w:t>
      </w:r>
      <w:r w:rsidR="00CF0638">
        <w:rPr>
          <w:b/>
          <w:bCs/>
          <w:sz w:val="24"/>
        </w:rPr>
        <w:t>abla No. 2</w:t>
      </w:r>
    </w:p>
    <w:p w:rsidR="00DC7FE5" w:rsidRDefault="00DC7FE5" w:rsidP="000C3415">
      <w:pPr>
        <w:spacing w:after="0" w:line="240" w:lineRule="auto"/>
        <w:ind w:left="360"/>
        <w:jc w:val="center"/>
        <w:rPr>
          <w:b/>
          <w:bCs/>
          <w:sz w:val="24"/>
        </w:rPr>
      </w:pPr>
      <w:r w:rsidRPr="00DC7FE5">
        <w:pict>
          <v:shape id="_x0000_i1033" type="#_x0000_t75" style="width:294pt;height:167.4pt">
            <v:imagedata r:id="rId18" o:title=""/>
          </v:shape>
        </w:pict>
      </w:r>
    </w:p>
    <w:p w:rsidR="00DA1218" w:rsidRDefault="00DA1218" w:rsidP="000C3415">
      <w:pPr>
        <w:spacing w:after="0" w:line="240" w:lineRule="auto"/>
        <w:ind w:left="360"/>
        <w:jc w:val="center"/>
        <w:rPr>
          <w:b/>
          <w:bCs/>
          <w:sz w:val="24"/>
        </w:rPr>
      </w:pPr>
    </w:p>
    <w:p w:rsidR="00BE508E" w:rsidRPr="00BE508E" w:rsidRDefault="004F0ED4">
      <w:pPr>
        <w:rPr>
          <w:b/>
          <w:sz w:val="24"/>
          <w:lang w:val="es-GT"/>
        </w:rPr>
      </w:pPr>
      <w:r w:rsidRPr="00FD0317">
        <w:rPr>
          <w:b/>
          <w:sz w:val="24"/>
          <w:lang w:val="es-GT"/>
        </w:rPr>
        <w:t>3.</w:t>
      </w:r>
      <w:r w:rsidR="00B51320">
        <w:rPr>
          <w:b/>
          <w:sz w:val="24"/>
          <w:lang w:val="es-GT"/>
        </w:rPr>
        <w:t>5</w:t>
      </w:r>
      <w:r w:rsidRPr="00FD0317">
        <w:rPr>
          <w:b/>
          <w:sz w:val="24"/>
          <w:lang w:val="es-GT"/>
        </w:rPr>
        <w:t xml:space="preserve"> </w:t>
      </w:r>
      <w:r w:rsidR="00C5480B" w:rsidRPr="00FD0317">
        <w:rPr>
          <w:b/>
          <w:sz w:val="24"/>
          <w:lang w:val="es-GT"/>
        </w:rPr>
        <w:t>Déficit Fiscal</w:t>
      </w:r>
    </w:p>
    <w:p w:rsidR="000C3415" w:rsidRDefault="005D4BCF" w:rsidP="000C3415">
      <w:pPr>
        <w:jc w:val="both"/>
        <w:rPr>
          <w:sz w:val="24"/>
          <w:lang w:val="es-GT"/>
        </w:rPr>
      </w:pPr>
      <w:r>
        <w:rPr>
          <w:sz w:val="24"/>
          <w:lang w:val="es-GT"/>
        </w:rPr>
        <w:t xml:space="preserve">El déficit fiscal proyectado para </w:t>
      </w:r>
      <w:r w:rsidR="007F0120">
        <w:rPr>
          <w:sz w:val="24"/>
          <w:lang w:val="es-GT"/>
        </w:rPr>
        <w:t xml:space="preserve">el período </w:t>
      </w:r>
      <w:r>
        <w:rPr>
          <w:sz w:val="24"/>
          <w:lang w:val="es-GT"/>
        </w:rPr>
        <w:t>20</w:t>
      </w:r>
      <w:r w:rsidR="007F0120">
        <w:rPr>
          <w:sz w:val="24"/>
          <w:lang w:val="es-GT"/>
        </w:rPr>
        <w:t xml:space="preserve">20-2023 </w:t>
      </w:r>
      <w:r w:rsidR="0004319E">
        <w:rPr>
          <w:sz w:val="24"/>
          <w:lang w:val="es-GT"/>
        </w:rPr>
        <w:t>va de 2.</w:t>
      </w:r>
      <w:r w:rsidR="007F0120">
        <w:rPr>
          <w:sz w:val="24"/>
          <w:lang w:val="es-GT"/>
        </w:rPr>
        <w:t>4</w:t>
      </w:r>
      <w:r w:rsidR="0004319E">
        <w:rPr>
          <w:sz w:val="24"/>
          <w:lang w:val="es-GT"/>
        </w:rPr>
        <w:t xml:space="preserve">% a </w:t>
      </w:r>
      <w:r w:rsidR="007F0120">
        <w:rPr>
          <w:sz w:val="24"/>
          <w:lang w:val="es-GT"/>
        </w:rPr>
        <w:t>1.8</w:t>
      </w:r>
      <w:r>
        <w:rPr>
          <w:sz w:val="24"/>
          <w:lang w:val="es-GT"/>
        </w:rPr>
        <w:t xml:space="preserve">%.  Esto como resultado de las proyecciones de ingresos tributarios realizadas por la Superintendencia de Administración Tributaria y las variables macroeconómicas del Banco de Guatemala, además de la proyección de los egresos consolidada </w:t>
      </w:r>
      <w:r w:rsidR="006F603F">
        <w:rPr>
          <w:sz w:val="24"/>
          <w:lang w:val="es-GT"/>
        </w:rPr>
        <w:t>d</w:t>
      </w:r>
      <w:r>
        <w:rPr>
          <w:sz w:val="24"/>
          <w:lang w:val="es-GT"/>
        </w:rPr>
        <w:t>el Ministerio de Finanzas Públicas.</w:t>
      </w:r>
      <w:r w:rsidR="0004319E">
        <w:rPr>
          <w:sz w:val="24"/>
          <w:lang w:val="es-GT"/>
        </w:rPr>
        <w:t xml:space="preserve">  El espacio y la disciplina fiscal dan margen para aumentar temporalmente el déficit fiscal en un nivel técnicamente aceptable.</w:t>
      </w:r>
    </w:p>
    <w:p w:rsidR="005D4BCF" w:rsidRDefault="00DF3525" w:rsidP="003E0978">
      <w:pPr>
        <w:jc w:val="center"/>
        <w:outlineLvl w:val="0"/>
        <w:rPr>
          <w:b/>
          <w:bCs/>
          <w:sz w:val="24"/>
          <w:szCs w:val="24"/>
        </w:rPr>
      </w:pPr>
      <w:r w:rsidRPr="004B388F">
        <w:rPr>
          <w:b/>
          <w:bCs/>
          <w:sz w:val="24"/>
          <w:szCs w:val="24"/>
        </w:rPr>
        <w:t xml:space="preserve">Gráfica No. </w:t>
      </w:r>
      <w:r w:rsidR="003B0CE9">
        <w:rPr>
          <w:b/>
          <w:bCs/>
          <w:sz w:val="24"/>
          <w:szCs w:val="24"/>
        </w:rPr>
        <w:t>5</w:t>
      </w:r>
    </w:p>
    <w:p w:rsidR="00023D83" w:rsidRDefault="00023D83" w:rsidP="000C3415">
      <w:pPr>
        <w:jc w:val="center"/>
        <w:rPr>
          <w:b/>
          <w:bCs/>
          <w:sz w:val="24"/>
          <w:szCs w:val="24"/>
        </w:rPr>
      </w:pPr>
      <w:r w:rsidRPr="00023D83">
        <w:rPr>
          <w:szCs w:val="24"/>
        </w:rPr>
        <w:pict>
          <v:shape id="_x0000_i1034" type="#_x0000_t75" style="width:424.8pt;height:289.8pt">
            <v:imagedata r:id="rId19" o:title=""/>
          </v:shape>
        </w:pict>
      </w:r>
    </w:p>
    <w:p w:rsidR="00C24EF2" w:rsidRDefault="00C24EF2" w:rsidP="000C3415">
      <w:pPr>
        <w:jc w:val="center"/>
        <w:rPr>
          <w:b/>
          <w:bCs/>
          <w:sz w:val="24"/>
          <w:szCs w:val="24"/>
        </w:rPr>
      </w:pPr>
    </w:p>
    <w:p w:rsidR="00E60AA5" w:rsidRPr="003043FF" w:rsidRDefault="00F15647" w:rsidP="00E60AA5">
      <w:pPr>
        <w:rPr>
          <w:b/>
          <w:sz w:val="24"/>
          <w:lang w:val="es-GT"/>
        </w:rPr>
      </w:pPr>
      <w:r>
        <w:rPr>
          <w:b/>
          <w:sz w:val="24"/>
          <w:lang w:val="es-GT"/>
        </w:rPr>
        <w:t>3.</w:t>
      </w:r>
      <w:r w:rsidR="00CF0638">
        <w:rPr>
          <w:b/>
          <w:sz w:val="24"/>
          <w:lang w:val="es-GT"/>
        </w:rPr>
        <w:t>6</w:t>
      </w:r>
      <w:r w:rsidR="006E3B24">
        <w:rPr>
          <w:b/>
          <w:sz w:val="24"/>
          <w:lang w:val="es-GT"/>
        </w:rPr>
        <w:t xml:space="preserve"> </w:t>
      </w:r>
      <w:r w:rsidR="00C5480B">
        <w:rPr>
          <w:b/>
          <w:sz w:val="24"/>
          <w:lang w:val="es-GT"/>
        </w:rPr>
        <w:t>Deuda Pública</w:t>
      </w:r>
    </w:p>
    <w:p w:rsidR="00E60AA5" w:rsidRDefault="00F82D6D" w:rsidP="00E60AA5">
      <w:pPr>
        <w:jc w:val="both"/>
        <w:rPr>
          <w:sz w:val="24"/>
          <w:lang w:val="es-GT"/>
        </w:rPr>
      </w:pPr>
      <w:r>
        <w:rPr>
          <w:sz w:val="24"/>
          <w:lang w:val="es-GT"/>
        </w:rPr>
        <w:t>E</w:t>
      </w:r>
      <w:r w:rsidR="00E60AA5">
        <w:rPr>
          <w:sz w:val="24"/>
          <w:lang w:val="es-GT"/>
        </w:rPr>
        <w:t xml:space="preserve">l nivel de la deuda pública </w:t>
      </w:r>
      <w:r w:rsidR="00676B57">
        <w:rPr>
          <w:sz w:val="24"/>
          <w:lang w:val="es-GT"/>
        </w:rPr>
        <w:t>con</w:t>
      </w:r>
      <w:r w:rsidR="00E60AA5">
        <w:rPr>
          <w:sz w:val="24"/>
          <w:lang w:val="es-GT"/>
        </w:rPr>
        <w:t xml:space="preserve"> relación al PIB se encuentra dentro de los límites aceptables técnicamente</w:t>
      </w:r>
      <w:r w:rsidR="009601B9">
        <w:rPr>
          <w:sz w:val="24"/>
          <w:lang w:val="es-GT"/>
        </w:rPr>
        <w:t>. S</w:t>
      </w:r>
      <w:r w:rsidR="00E60AA5">
        <w:rPr>
          <w:sz w:val="24"/>
          <w:lang w:val="es-GT"/>
        </w:rPr>
        <w:t xml:space="preserve">e </w:t>
      </w:r>
      <w:r w:rsidR="00351FA0">
        <w:rPr>
          <w:sz w:val="24"/>
          <w:lang w:val="es-GT"/>
        </w:rPr>
        <w:t xml:space="preserve">preserva la sostenibilidad en el mediano plazo al proyectarse hasta un máximo del </w:t>
      </w:r>
      <w:r w:rsidR="00E60AA5">
        <w:rPr>
          <w:sz w:val="24"/>
          <w:lang w:val="es-GT"/>
        </w:rPr>
        <w:t>25</w:t>
      </w:r>
      <w:r w:rsidR="00676B57">
        <w:rPr>
          <w:sz w:val="24"/>
          <w:lang w:val="es-GT"/>
        </w:rPr>
        <w:t>.0</w:t>
      </w:r>
      <w:r w:rsidR="00E60AA5">
        <w:rPr>
          <w:sz w:val="24"/>
          <w:lang w:val="es-GT"/>
        </w:rPr>
        <w:t>%</w:t>
      </w:r>
      <w:r w:rsidR="0020418D">
        <w:rPr>
          <w:sz w:val="24"/>
          <w:lang w:val="es-GT"/>
        </w:rPr>
        <w:t xml:space="preserve"> a pesar de</w:t>
      </w:r>
      <w:r w:rsidR="007B40E8">
        <w:rPr>
          <w:sz w:val="24"/>
          <w:lang w:val="es-GT"/>
        </w:rPr>
        <w:t>l</w:t>
      </w:r>
      <w:r w:rsidR="0020418D">
        <w:rPr>
          <w:sz w:val="24"/>
          <w:lang w:val="es-GT"/>
        </w:rPr>
        <w:t xml:space="preserve"> déficit fiscal proyectado</w:t>
      </w:r>
      <w:r w:rsidR="00E60AA5">
        <w:rPr>
          <w:sz w:val="24"/>
          <w:lang w:val="es-GT"/>
        </w:rPr>
        <w:t>.</w:t>
      </w:r>
    </w:p>
    <w:p w:rsidR="00272DFD" w:rsidRDefault="00272DFD" w:rsidP="00E60AA5">
      <w:pPr>
        <w:jc w:val="both"/>
        <w:rPr>
          <w:sz w:val="24"/>
          <w:lang w:val="es-GT"/>
        </w:rPr>
      </w:pPr>
      <w:r>
        <w:rPr>
          <w:sz w:val="24"/>
          <w:lang w:val="es-GT"/>
        </w:rPr>
        <w:br w:type="page"/>
      </w:r>
    </w:p>
    <w:p w:rsidR="005E02FF" w:rsidRPr="005E02FF" w:rsidRDefault="005E02FF" w:rsidP="003E0978">
      <w:pPr>
        <w:jc w:val="center"/>
        <w:outlineLvl w:val="0"/>
        <w:rPr>
          <w:b/>
          <w:sz w:val="24"/>
          <w:lang w:val="es-GT"/>
        </w:rPr>
      </w:pPr>
      <w:r w:rsidRPr="005E02FF">
        <w:rPr>
          <w:b/>
          <w:sz w:val="24"/>
          <w:lang w:val="es-GT"/>
        </w:rPr>
        <w:t>Gráfica No.</w:t>
      </w:r>
      <w:r w:rsidR="003B0CE9">
        <w:rPr>
          <w:b/>
          <w:sz w:val="24"/>
          <w:lang w:val="es-GT"/>
        </w:rPr>
        <w:t>6</w:t>
      </w:r>
    </w:p>
    <w:p w:rsidR="005E02FF" w:rsidRDefault="00FD0317" w:rsidP="00E60AA5">
      <w:pPr>
        <w:jc w:val="both"/>
      </w:pPr>
      <w:r w:rsidRPr="00FD0317">
        <w:pict>
          <v:shape id="_x0000_i1035" type="#_x0000_t75" style="width:424.8pt;height:222.6pt">
            <v:imagedata r:id="rId20" o:title=""/>
          </v:shape>
        </w:pict>
      </w:r>
    </w:p>
    <w:p w:rsidR="00350AE5" w:rsidRDefault="00350AE5" w:rsidP="00E60AA5">
      <w:pPr>
        <w:jc w:val="both"/>
      </w:pPr>
    </w:p>
    <w:p w:rsidR="00AC4B9C" w:rsidRDefault="00085A87" w:rsidP="00085A87">
      <w:pPr>
        <w:numPr>
          <w:ilvl w:val="0"/>
          <w:numId w:val="12"/>
        </w:numPr>
        <w:rPr>
          <w:b/>
          <w:sz w:val="28"/>
          <w:lang w:val="es-GT"/>
        </w:rPr>
      </w:pPr>
      <w:r w:rsidRPr="00085A87">
        <w:rPr>
          <w:b/>
          <w:sz w:val="28"/>
          <w:lang w:val="es-GT"/>
        </w:rPr>
        <w:t>Proyecto de Presupuesto 20</w:t>
      </w:r>
      <w:r w:rsidR="00F712C5">
        <w:rPr>
          <w:b/>
          <w:sz w:val="28"/>
          <w:lang w:val="es-GT"/>
        </w:rPr>
        <w:t>20</w:t>
      </w:r>
      <w:r w:rsidRPr="00085A87">
        <w:rPr>
          <w:b/>
          <w:sz w:val="28"/>
          <w:lang w:val="es-GT"/>
        </w:rPr>
        <w:t xml:space="preserve"> y Multianual</w:t>
      </w:r>
      <w:r w:rsidR="00AC4B9C" w:rsidRPr="001A0F78">
        <w:rPr>
          <w:b/>
          <w:sz w:val="28"/>
          <w:lang w:val="es-GT"/>
        </w:rPr>
        <w:t xml:space="preserve"> 20</w:t>
      </w:r>
      <w:r w:rsidR="00F712C5">
        <w:rPr>
          <w:b/>
          <w:sz w:val="28"/>
          <w:lang w:val="es-GT"/>
        </w:rPr>
        <w:t>20</w:t>
      </w:r>
      <w:r w:rsidR="00AC4B9C" w:rsidRPr="001A0F78">
        <w:rPr>
          <w:b/>
          <w:sz w:val="28"/>
          <w:lang w:val="es-GT"/>
        </w:rPr>
        <w:t>-202</w:t>
      </w:r>
      <w:r w:rsidR="00F712C5">
        <w:rPr>
          <w:b/>
          <w:sz w:val="28"/>
          <w:lang w:val="es-GT"/>
        </w:rPr>
        <w:t>4</w:t>
      </w:r>
    </w:p>
    <w:p w:rsidR="00EC1D72" w:rsidRDefault="00EC1D72" w:rsidP="00EC1D72">
      <w:pPr>
        <w:ind w:left="360"/>
        <w:rPr>
          <w:b/>
          <w:sz w:val="28"/>
          <w:lang w:val="es-GT"/>
        </w:rPr>
      </w:pPr>
    </w:p>
    <w:p w:rsidR="00085A87" w:rsidRDefault="00085A87" w:rsidP="00085A87">
      <w:pPr>
        <w:rPr>
          <w:b/>
          <w:sz w:val="24"/>
          <w:lang w:val="es-GT"/>
        </w:rPr>
      </w:pPr>
      <w:r>
        <w:rPr>
          <w:b/>
          <w:sz w:val="24"/>
          <w:lang w:val="es-GT"/>
        </w:rPr>
        <w:t xml:space="preserve">4.1 </w:t>
      </w:r>
      <w:r w:rsidRPr="00FB3987">
        <w:rPr>
          <w:b/>
          <w:sz w:val="24"/>
          <w:lang w:val="es-GT"/>
        </w:rPr>
        <w:t>Ruta País</w:t>
      </w:r>
    </w:p>
    <w:p w:rsidR="00085A87" w:rsidRDefault="00085A87" w:rsidP="00085A87">
      <w:pPr>
        <w:ind w:left="360"/>
        <w:jc w:val="both"/>
        <w:rPr>
          <w:sz w:val="24"/>
          <w:lang w:val="es-GT"/>
        </w:rPr>
      </w:pPr>
      <w:r w:rsidRPr="00DD19F6">
        <w:rPr>
          <w:sz w:val="24"/>
          <w:lang w:val="es-GT"/>
        </w:rPr>
        <w:t>Es</w:t>
      </w:r>
      <w:r>
        <w:rPr>
          <w:sz w:val="24"/>
          <w:lang w:val="es-GT"/>
        </w:rPr>
        <w:t xml:space="preserve">ta es una estrategia que busca orientar las acciones </w:t>
      </w:r>
      <w:proofErr w:type="gramStart"/>
      <w:r>
        <w:rPr>
          <w:sz w:val="24"/>
          <w:lang w:val="es-GT"/>
        </w:rPr>
        <w:t>que</w:t>
      </w:r>
      <w:proofErr w:type="gramEnd"/>
      <w:r>
        <w:rPr>
          <w:sz w:val="24"/>
          <w:lang w:val="es-GT"/>
        </w:rPr>
        <w:t xml:space="preserve"> en el corto plazo, las instituciones de gobierno podrían realizar bajo una óptica de priorización de los recursos públicos.  Bajo dicha estrategia se considera que el proyecto de presupuesto contemple como una prioridad, las estimaciones de recursos para inversión, programas recurrentes para la prestación de los servicios públicos a la población, recursos en funcionamiento orientados al gasto social como el pago del personal de educación, salud, seguridad, y otros gastos esenciales, las obligaciones del Estado definidas por preceptos constitucionales y de otras leyes ordinarias, y el pago de la deuda pública, principalmente.</w:t>
      </w:r>
    </w:p>
    <w:p w:rsidR="00085A87" w:rsidRDefault="00F06849" w:rsidP="00085A87">
      <w:pPr>
        <w:ind w:left="360"/>
        <w:jc w:val="both"/>
        <w:rPr>
          <w:sz w:val="24"/>
          <w:lang w:val="es-GT"/>
        </w:rPr>
      </w:pPr>
      <w:r>
        <w:rPr>
          <w:sz w:val="24"/>
          <w:lang w:val="es-GT"/>
        </w:rPr>
        <w:t xml:space="preserve">Para el efecto se toma como punto de partida el </w:t>
      </w:r>
      <w:r w:rsidR="00085A87">
        <w:rPr>
          <w:sz w:val="24"/>
          <w:lang w:val="es-GT"/>
        </w:rPr>
        <w:t xml:space="preserve">Plan Nacional de Desarrollo K´atun 2032, la Política General de Gobierno, los Objetivos de Desarrollo Sostenible y el Plan </w:t>
      </w:r>
      <w:r w:rsidR="00514194">
        <w:rPr>
          <w:sz w:val="24"/>
          <w:lang w:val="es-GT"/>
        </w:rPr>
        <w:t xml:space="preserve">de </w:t>
      </w:r>
      <w:r w:rsidR="007B40E8">
        <w:rPr>
          <w:sz w:val="24"/>
          <w:lang w:val="es-GT"/>
        </w:rPr>
        <w:t xml:space="preserve">la </w:t>
      </w:r>
      <w:r w:rsidR="00514194">
        <w:rPr>
          <w:sz w:val="24"/>
          <w:lang w:val="es-GT"/>
        </w:rPr>
        <w:t xml:space="preserve">Alianza para la </w:t>
      </w:r>
      <w:r w:rsidR="00085A87">
        <w:rPr>
          <w:sz w:val="24"/>
          <w:lang w:val="es-GT"/>
        </w:rPr>
        <w:t>P</w:t>
      </w:r>
      <w:r w:rsidR="005A01ED">
        <w:rPr>
          <w:sz w:val="24"/>
          <w:lang w:val="es-GT"/>
        </w:rPr>
        <w:t>rosperidad del Triángulo Norte.</w:t>
      </w:r>
    </w:p>
    <w:p w:rsidR="007D691D" w:rsidRDefault="00350AE5" w:rsidP="00085A87">
      <w:pPr>
        <w:ind w:left="360"/>
        <w:jc w:val="both"/>
        <w:rPr>
          <w:sz w:val="24"/>
          <w:lang w:val="es-GT"/>
        </w:rPr>
      </w:pPr>
      <w:r>
        <w:rPr>
          <w:sz w:val="24"/>
          <w:lang w:val="es-GT"/>
        </w:rPr>
        <w:br w:type="page"/>
      </w:r>
    </w:p>
    <w:p w:rsidR="00AE3B3A" w:rsidRDefault="00AE3B3A" w:rsidP="00AE3B3A">
      <w:pPr>
        <w:ind w:left="360"/>
        <w:jc w:val="center"/>
      </w:pPr>
      <w:r w:rsidRPr="00D64C74">
        <w:pict>
          <v:shape id="_x0000_i1036" type="#_x0000_t75" style="width:424.8pt;height:187.8pt">
            <v:imagedata r:id="rId21" o:title=""/>
          </v:shape>
        </w:pict>
      </w:r>
    </w:p>
    <w:p w:rsidR="00AE3B3A" w:rsidRDefault="00AE3B3A" w:rsidP="00AE3B3A">
      <w:pPr>
        <w:ind w:left="360"/>
        <w:jc w:val="center"/>
      </w:pPr>
    </w:p>
    <w:p w:rsidR="005A01ED" w:rsidRDefault="005A01ED" w:rsidP="00AE3B3A">
      <w:pPr>
        <w:ind w:left="360"/>
        <w:jc w:val="center"/>
      </w:pPr>
    </w:p>
    <w:p w:rsidR="000030F7" w:rsidRDefault="000030F7" w:rsidP="00AE3B3A">
      <w:pPr>
        <w:ind w:left="360"/>
        <w:jc w:val="center"/>
      </w:pPr>
    </w:p>
    <w:p w:rsidR="00EC1D72" w:rsidRDefault="005A01ED" w:rsidP="005A01ED">
      <w:pPr>
        <w:ind w:left="360"/>
      </w:pPr>
      <w:r w:rsidRPr="00941249">
        <w:pict>
          <v:shape id="_x0000_i1037" type="#_x0000_t75" style="width:421.8pt;height:4in">
            <v:imagedata r:id="rId22" o:title=""/>
          </v:shape>
        </w:pict>
      </w:r>
    </w:p>
    <w:p w:rsidR="00EC1D72" w:rsidRDefault="00EC1D72" w:rsidP="00AE3B3A">
      <w:pPr>
        <w:ind w:left="360"/>
        <w:jc w:val="center"/>
      </w:pPr>
      <w:r w:rsidRPr="0025267F">
        <w:lastRenderedPageBreak/>
        <w:pict>
          <v:shape id="_x0000_i1038" type="#_x0000_t75" style="width:425.4pt;height:307.8pt">
            <v:imagedata r:id="rId23" o:title=""/>
          </v:shape>
        </w:pict>
      </w:r>
    </w:p>
    <w:p w:rsidR="00AE3B3A" w:rsidRDefault="00EC1D72" w:rsidP="00EC1D72">
      <w:pPr>
        <w:ind w:left="360"/>
        <w:jc w:val="both"/>
        <w:rPr>
          <w:sz w:val="24"/>
          <w:lang w:val="es-GT"/>
        </w:rPr>
      </w:pPr>
      <w:r>
        <w:rPr>
          <w:sz w:val="24"/>
        </w:rPr>
        <w:t>E</w:t>
      </w:r>
      <w:r>
        <w:rPr>
          <w:sz w:val="24"/>
          <w:lang w:val="es-GT"/>
        </w:rPr>
        <w:t>l Proyecto de Presupuesto 2020, se enfoca en tres ejes prioritarios con intervenciones de diversas entidades</w:t>
      </w:r>
      <w:r w:rsidR="000030F7">
        <w:rPr>
          <w:sz w:val="24"/>
          <w:lang w:val="es-GT"/>
        </w:rPr>
        <w:t>.</w:t>
      </w:r>
    </w:p>
    <w:p w:rsidR="00F53D40" w:rsidRDefault="00F06849" w:rsidP="00AE3B3A">
      <w:pPr>
        <w:jc w:val="center"/>
      </w:pPr>
      <w:r w:rsidRPr="00F53D40">
        <w:pict>
          <v:shape id="_x0000_i1039" type="#_x0000_t75" style="width:324.6pt;height:271.2pt">
            <v:imagedata r:id="rId24" o:title=""/>
          </v:shape>
        </w:pict>
      </w:r>
    </w:p>
    <w:p w:rsidR="0025267F" w:rsidRDefault="0025267F" w:rsidP="000A13A6">
      <w:pPr>
        <w:jc w:val="center"/>
      </w:pPr>
    </w:p>
    <w:p w:rsidR="00EB41A3" w:rsidRPr="00273690" w:rsidRDefault="00475F3D" w:rsidP="00EB41A3">
      <w:pPr>
        <w:rPr>
          <w:b/>
          <w:bCs/>
          <w:sz w:val="24"/>
        </w:rPr>
      </w:pPr>
      <w:r>
        <w:rPr>
          <w:b/>
          <w:sz w:val="24"/>
          <w:lang w:val="es-GT"/>
        </w:rPr>
        <w:t>4</w:t>
      </w:r>
      <w:r w:rsidR="00085A87">
        <w:rPr>
          <w:b/>
          <w:sz w:val="24"/>
          <w:lang w:val="es-GT"/>
        </w:rPr>
        <w:t xml:space="preserve">.2 </w:t>
      </w:r>
      <w:r w:rsidR="00EB41A3">
        <w:rPr>
          <w:b/>
          <w:bCs/>
          <w:sz w:val="24"/>
        </w:rPr>
        <w:t>Metas de Recaudación y Carga Tributaria</w:t>
      </w:r>
    </w:p>
    <w:p w:rsidR="00EB41A3" w:rsidRDefault="00226494" w:rsidP="00EB41A3">
      <w:pPr>
        <w:jc w:val="both"/>
        <w:rPr>
          <w:bCs/>
          <w:sz w:val="24"/>
        </w:rPr>
      </w:pPr>
      <w:r>
        <w:rPr>
          <w:bCs/>
          <w:sz w:val="24"/>
        </w:rPr>
        <w:t>Para 2020</w:t>
      </w:r>
      <w:r w:rsidR="00EB41A3" w:rsidRPr="002F7E3A">
        <w:rPr>
          <w:bCs/>
          <w:sz w:val="24"/>
        </w:rPr>
        <w:t xml:space="preserve"> y el período multianual </w:t>
      </w:r>
      <w:r w:rsidR="00EB41A3">
        <w:rPr>
          <w:bCs/>
          <w:sz w:val="24"/>
        </w:rPr>
        <w:t xml:space="preserve">proyectado </w:t>
      </w:r>
      <w:r w:rsidR="00EB41A3" w:rsidRPr="002F7E3A">
        <w:rPr>
          <w:bCs/>
          <w:sz w:val="24"/>
        </w:rPr>
        <w:t>al 202</w:t>
      </w:r>
      <w:r>
        <w:rPr>
          <w:bCs/>
          <w:sz w:val="24"/>
        </w:rPr>
        <w:t>4</w:t>
      </w:r>
      <w:r w:rsidR="00EB41A3">
        <w:rPr>
          <w:bCs/>
          <w:sz w:val="24"/>
        </w:rPr>
        <w:t>,</w:t>
      </w:r>
      <w:r w:rsidR="00EB41A3" w:rsidRPr="002F7E3A">
        <w:rPr>
          <w:bCs/>
          <w:sz w:val="24"/>
        </w:rPr>
        <w:t xml:space="preserve"> se espera una recuperación en el nivel de la carga tributaria</w:t>
      </w:r>
      <w:r w:rsidR="00EB41A3">
        <w:rPr>
          <w:bCs/>
          <w:sz w:val="24"/>
        </w:rPr>
        <w:t xml:space="preserve"> por mejoras administrativas en la recaudación,</w:t>
      </w:r>
      <w:r w:rsidR="00EB41A3" w:rsidRPr="002F7E3A">
        <w:rPr>
          <w:bCs/>
          <w:sz w:val="24"/>
        </w:rPr>
        <w:t xml:space="preserve"> </w:t>
      </w:r>
      <w:r w:rsidR="00EB41A3">
        <w:rPr>
          <w:bCs/>
          <w:sz w:val="24"/>
        </w:rPr>
        <w:t xml:space="preserve">sin que se </w:t>
      </w:r>
      <w:r w:rsidR="00EB41A3" w:rsidRPr="002F7E3A">
        <w:rPr>
          <w:bCs/>
          <w:sz w:val="24"/>
        </w:rPr>
        <w:t>consider</w:t>
      </w:r>
      <w:r w:rsidR="00EB41A3">
        <w:rPr>
          <w:bCs/>
          <w:sz w:val="24"/>
        </w:rPr>
        <w:t>e</w:t>
      </w:r>
      <w:r w:rsidR="00EB41A3" w:rsidRPr="002F7E3A">
        <w:rPr>
          <w:bCs/>
          <w:sz w:val="24"/>
        </w:rPr>
        <w:t>n modificaciones a los impuestos vigentes, o a la base tributaria</w:t>
      </w:r>
      <w:r w:rsidR="00EB41A3">
        <w:rPr>
          <w:bCs/>
          <w:sz w:val="24"/>
        </w:rPr>
        <w:t>. Las metas proyectadas y nivel de carga tributaria se estiman en los niveles siguientes:</w:t>
      </w:r>
    </w:p>
    <w:p w:rsidR="003B0CE9" w:rsidRDefault="003B0CE9" w:rsidP="003E0978">
      <w:pPr>
        <w:jc w:val="center"/>
        <w:outlineLvl w:val="0"/>
        <w:rPr>
          <w:b/>
          <w:bCs/>
          <w:sz w:val="24"/>
          <w:szCs w:val="24"/>
        </w:rPr>
      </w:pPr>
      <w:r w:rsidRPr="004B388F">
        <w:rPr>
          <w:b/>
          <w:bCs/>
          <w:sz w:val="24"/>
          <w:szCs w:val="24"/>
        </w:rPr>
        <w:t xml:space="preserve">Gráfica No. </w:t>
      </w:r>
      <w:r>
        <w:rPr>
          <w:b/>
          <w:bCs/>
          <w:sz w:val="24"/>
          <w:szCs w:val="24"/>
        </w:rPr>
        <w:t>7</w:t>
      </w:r>
    </w:p>
    <w:p w:rsidR="00255040" w:rsidRDefault="00255040" w:rsidP="003B0CE9">
      <w:pPr>
        <w:jc w:val="center"/>
        <w:rPr>
          <w:bCs/>
          <w:sz w:val="24"/>
        </w:rPr>
      </w:pPr>
      <w:r w:rsidRPr="00255040">
        <w:pict>
          <v:shape id="_x0000_i1040" type="#_x0000_t75" style="width:424.8pt;height:274.8pt">
            <v:imagedata r:id="rId25" o:title=""/>
          </v:shape>
        </w:pict>
      </w:r>
    </w:p>
    <w:p w:rsidR="00EB41A3" w:rsidRDefault="00EB41A3" w:rsidP="00EB41A3">
      <w:pPr>
        <w:rPr>
          <w:b/>
          <w:sz w:val="24"/>
          <w:lang w:val="es-GT"/>
        </w:rPr>
      </w:pPr>
    </w:p>
    <w:p w:rsidR="005A0A35" w:rsidRDefault="00EB41A3" w:rsidP="005A0A35">
      <w:pPr>
        <w:jc w:val="both"/>
        <w:rPr>
          <w:sz w:val="24"/>
          <w:lang w:val="es-GT"/>
        </w:rPr>
      </w:pPr>
      <w:r>
        <w:rPr>
          <w:sz w:val="24"/>
          <w:lang w:val="es-GT"/>
        </w:rPr>
        <w:t xml:space="preserve">La estimación anterior permite la </w:t>
      </w:r>
      <w:r w:rsidR="005A0A35">
        <w:rPr>
          <w:sz w:val="24"/>
          <w:lang w:val="es-GT"/>
        </w:rPr>
        <w:t xml:space="preserve">definición de los techos indicativos </w:t>
      </w:r>
      <w:r w:rsidR="00D63559">
        <w:rPr>
          <w:sz w:val="24"/>
          <w:lang w:val="es-GT"/>
        </w:rPr>
        <w:t xml:space="preserve">para la formulación del proyecto de presupuesto para el próximo ejercicio fiscal, </w:t>
      </w:r>
      <w:r>
        <w:rPr>
          <w:sz w:val="24"/>
          <w:lang w:val="es-GT"/>
        </w:rPr>
        <w:t>y su proyección multianual.</w:t>
      </w:r>
      <w:r w:rsidR="00630969">
        <w:rPr>
          <w:sz w:val="24"/>
          <w:lang w:val="es-GT"/>
        </w:rPr>
        <w:t xml:space="preserve">  </w:t>
      </w:r>
      <w:r w:rsidR="00FE5BAF">
        <w:rPr>
          <w:sz w:val="24"/>
          <w:lang w:val="es-GT"/>
        </w:rPr>
        <w:t>Para brindar mayor transparencia, e</w:t>
      </w:r>
      <w:r w:rsidR="00630969">
        <w:rPr>
          <w:sz w:val="24"/>
          <w:lang w:val="es-GT"/>
        </w:rPr>
        <w:t>n el Anexo</w:t>
      </w:r>
      <w:r w:rsidR="008F1CD2">
        <w:rPr>
          <w:sz w:val="24"/>
          <w:lang w:val="es-GT"/>
        </w:rPr>
        <w:t xml:space="preserve"> del presente documento </w:t>
      </w:r>
      <w:r w:rsidR="00630969">
        <w:rPr>
          <w:sz w:val="24"/>
          <w:lang w:val="es-GT"/>
        </w:rPr>
        <w:t>se muestra la desagregación de la estimación de ingresos.</w:t>
      </w:r>
    </w:p>
    <w:p w:rsidR="005A0A35" w:rsidRDefault="005A0A35">
      <w:pPr>
        <w:rPr>
          <w:b/>
          <w:sz w:val="24"/>
          <w:lang w:val="es-GT"/>
        </w:rPr>
      </w:pPr>
    </w:p>
    <w:p w:rsidR="00AC4B9C" w:rsidRPr="004E6438" w:rsidRDefault="00475F3D">
      <w:pPr>
        <w:rPr>
          <w:b/>
          <w:sz w:val="24"/>
          <w:lang w:val="es-GT"/>
        </w:rPr>
      </w:pPr>
      <w:r>
        <w:rPr>
          <w:b/>
          <w:sz w:val="24"/>
          <w:lang w:val="es-GT"/>
        </w:rPr>
        <w:t>4</w:t>
      </w:r>
      <w:r w:rsidR="00085A87">
        <w:rPr>
          <w:b/>
          <w:sz w:val="24"/>
          <w:lang w:val="es-GT"/>
        </w:rPr>
        <w:t>.3</w:t>
      </w:r>
      <w:r w:rsidR="00490DFB">
        <w:rPr>
          <w:b/>
          <w:sz w:val="24"/>
          <w:lang w:val="es-GT"/>
        </w:rPr>
        <w:t xml:space="preserve"> </w:t>
      </w:r>
      <w:r w:rsidR="00AC4B9C" w:rsidRPr="004E6438">
        <w:rPr>
          <w:b/>
          <w:sz w:val="24"/>
          <w:lang w:val="es-GT"/>
        </w:rPr>
        <w:t>Techos Indicativos</w:t>
      </w:r>
      <w:r w:rsidR="00622B1E">
        <w:rPr>
          <w:b/>
          <w:sz w:val="24"/>
          <w:lang w:val="es-GT"/>
        </w:rPr>
        <w:t xml:space="preserve"> de </w:t>
      </w:r>
      <w:r w:rsidR="000F7C55">
        <w:rPr>
          <w:b/>
          <w:sz w:val="24"/>
          <w:lang w:val="es-GT"/>
        </w:rPr>
        <w:t>G</w:t>
      </w:r>
      <w:r w:rsidR="00622B1E">
        <w:rPr>
          <w:b/>
          <w:sz w:val="24"/>
          <w:lang w:val="es-GT"/>
        </w:rPr>
        <w:t>asto</w:t>
      </w:r>
    </w:p>
    <w:p w:rsidR="00F92257" w:rsidRPr="00F92257" w:rsidRDefault="00F92257" w:rsidP="00F92257">
      <w:pPr>
        <w:jc w:val="both"/>
        <w:rPr>
          <w:sz w:val="24"/>
          <w:lang w:val="es-GT"/>
        </w:rPr>
      </w:pPr>
      <w:r w:rsidRPr="00F92257">
        <w:rPr>
          <w:sz w:val="24"/>
          <w:lang w:val="es-GT"/>
        </w:rPr>
        <w:t xml:space="preserve">Como parte del proceso de planificación y programación del gasto público para el Ejercicio Fiscal 2020 y Multianual 2020-2024, se presentan los Techos Indicativos de Presupuesto los cuales han sido definidos en un contexto de estabilidad </w:t>
      </w:r>
      <w:r w:rsidRPr="00F92257">
        <w:rPr>
          <w:sz w:val="24"/>
          <w:lang w:val="es-GT"/>
        </w:rPr>
        <w:lastRenderedPageBreak/>
        <w:t xml:space="preserve">macroeconómica, recuperación de la capacidad fiscal y financiera del Estado, fortalecimiento de la funcionalidad institucional, así como en un marco de sostenibilidad del endeudamiento público. </w:t>
      </w:r>
    </w:p>
    <w:p w:rsidR="00F92257" w:rsidRPr="00F92257" w:rsidRDefault="00F92257" w:rsidP="00F92257">
      <w:pPr>
        <w:jc w:val="both"/>
        <w:rPr>
          <w:sz w:val="24"/>
          <w:lang w:val="es-GT"/>
        </w:rPr>
      </w:pPr>
      <w:r w:rsidRPr="00F92257">
        <w:rPr>
          <w:sz w:val="24"/>
          <w:lang w:val="es-GT"/>
        </w:rPr>
        <w:t>En este sentido, los techos presupuestarios indicativos para 2020 coadyuvan a la estabilidad macroeconómica con un déficit de 2.4% del PIB y una carga tributaria de 9.9%, a la vez que se focaliza en la consolidación de la política</w:t>
      </w:r>
      <w:r w:rsidR="00C105CC">
        <w:rPr>
          <w:sz w:val="24"/>
          <w:lang w:val="es-GT"/>
        </w:rPr>
        <w:t xml:space="preserve"> fiscal</w:t>
      </w:r>
      <w:r w:rsidRPr="00F92257">
        <w:rPr>
          <w:sz w:val="24"/>
          <w:lang w:val="es-GT"/>
        </w:rPr>
        <w:t>.</w:t>
      </w:r>
    </w:p>
    <w:p w:rsidR="00F92257" w:rsidRPr="00F92257" w:rsidRDefault="00F92257" w:rsidP="00F92257">
      <w:pPr>
        <w:jc w:val="both"/>
        <w:rPr>
          <w:sz w:val="24"/>
          <w:lang w:val="es-GT"/>
        </w:rPr>
      </w:pPr>
      <w:r w:rsidRPr="00F92257">
        <w:rPr>
          <w:sz w:val="24"/>
          <w:lang w:val="es-GT"/>
        </w:rPr>
        <w:t xml:space="preserve">Se continúa con el proceso </w:t>
      </w:r>
      <w:r w:rsidR="003649B3">
        <w:rPr>
          <w:sz w:val="24"/>
          <w:lang w:val="es-GT"/>
        </w:rPr>
        <w:t>de</w:t>
      </w:r>
      <w:r w:rsidRPr="00F92257">
        <w:rPr>
          <w:sz w:val="24"/>
          <w:lang w:val="es-GT"/>
        </w:rPr>
        <w:t xml:space="preserve"> una metodología abierta y participativa, en donde se presentó un diagnóstico de la situación actual de Guatemala, los logros 2016 - 2019 y la vinculación de la producción de las instituciones públicas con la visión de los Objetivos de Desarrollo Sostenible (ODS) y Metas Estratégicas de Desarrollo (MED).</w:t>
      </w:r>
    </w:p>
    <w:p w:rsidR="00523BB7" w:rsidRDefault="00F92257" w:rsidP="00794C65">
      <w:pPr>
        <w:jc w:val="both"/>
        <w:rPr>
          <w:sz w:val="24"/>
          <w:lang w:val="es-GT"/>
        </w:rPr>
      </w:pPr>
      <w:r>
        <w:rPr>
          <w:sz w:val="24"/>
          <w:lang w:val="es-GT"/>
        </w:rPr>
        <w:t>En cuanto a l</w:t>
      </w:r>
      <w:r w:rsidR="00FE3677">
        <w:rPr>
          <w:sz w:val="24"/>
          <w:lang w:val="es-GT"/>
        </w:rPr>
        <w:t>a asignación presupuestaria hacia el interior de los programas presupuestarios y sus respectivas actividades, corresponde a cada institución</w:t>
      </w:r>
      <w:r>
        <w:rPr>
          <w:sz w:val="24"/>
          <w:lang w:val="es-GT"/>
        </w:rPr>
        <w:t xml:space="preserve"> </w:t>
      </w:r>
      <w:r w:rsidR="003649B3">
        <w:rPr>
          <w:sz w:val="24"/>
          <w:lang w:val="es-GT"/>
        </w:rPr>
        <w:t xml:space="preserve">pública </w:t>
      </w:r>
      <w:r>
        <w:rPr>
          <w:sz w:val="24"/>
          <w:lang w:val="es-GT"/>
        </w:rPr>
        <w:t>su distribución</w:t>
      </w:r>
      <w:r w:rsidR="00FE3677">
        <w:rPr>
          <w:sz w:val="24"/>
          <w:lang w:val="es-GT"/>
        </w:rPr>
        <w:t xml:space="preserve"> </w:t>
      </w:r>
      <w:r w:rsidR="00E10780">
        <w:rPr>
          <w:sz w:val="24"/>
          <w:lang w:val="es-GT"/>
        </w:rPr>
        <w:t>a efecto de hacer congruente la planificación con la presupuestación, mediante la determinación de las metas e indicadores respectivos.</w:t>
      </w:r>
      <w:r w:rsidR="0020418D">
        <w:rPr>
          <w:sz w:val="24"/>
          <w:lang w:val="es-GT"/>
        </w:rPr>
        <w:t xml:space="preserve"> </w:t>
      </w:r>
    </w:p>
    <w:p w:rsidR="00F92257" w:rsidRPr="007C4ECA" w:rsidRDefault="00F92257" w:rsidP="00F92257">
      <w:pPr>
        <w:jc w:val="both"/>
        <w:rPr>
          <w:rFonts w:ascii="Times New Roman" w:eastAsia="Times New Roman" w:hAnsi="Times New Roman"/>
          <w:sz w:val="14"/>
          <w:szCs w:val="14"/>
        </w:rPr>
      </w:pPr>
    </w:p>
    <w:p w:rsidR="00794C65" w:rsidRDefault="00794C65" w:rsidP="00794C65">
      <w:pPr>
        <w:jc w:val="both"/>
        <w:rPr>
          <w:sz w:val="24"/>
          <w:lang w:val="es-GT"/>
        </w:rPr>
      </w:pPr>
      <w:r>
        <w:rPr>
          <w:sz w:val="24"/>
          <w:lang w:val="es-GT"/>
        </w:rPr>
        <w:t>A continuación</w:t>
      </w:r>
      <w:r w:rsidR="0020418D">
        <w:rPr>
          <w:sz w:val="24"/>
          <w:lang w:val="es-GT"/>
        </w:rPr>
        <w:t>,</w:t>
      </w:r>
      <w:r>
        <w:rPr>
          <w:sz w:val="24"/>
          <w:lang w:val="es-GT"/>
        </w:rPr>
        <w:t xml:space="preserve"> los techos indicativos de gasto por entidad</w:t>
      </w:r>
      <w:r w:rsidR="00FA27E8">
        <w:rPr>
          <w:sz w:val="24"/>
          <w:lang w:val="es-GT"/>
        </w:rPr>
        <w:t xml:space="preserve">, </w:t>
      </w:r>
      <w:r w:rsidR="00823312">
        <w:rPr>
          <w:sz w:val="24"/>
          <w:lang w:val="es-GT"/>
        </w:rPr>
        <w:t xml:space="preserve">los cuales </w:t>
      </w:r>
      <w:r w:rsidR="00FA27E8">
        <w:rPr>
          <w:sz w:val="24"/>
          <w:lang w:val="es-GT"/>
        </w:rPr>
        <w:t xml:space="preserve">aún podrían ser objeto de alguna variación al momento de presentarse el Proyecto de Presupuesto </w:t>
      </w:r>
      <w:r w:rsidR="00665CC7">
        <w:rPr>
          <w:sz w:val="24"/>
          <w:lang w:val="es-GT"/>
        </w:rPr>
        <w:t xml:space="preserve">General de Ingresos y Egresos del Estado para el Ejercicio Fiscal </w:t>
      </w:r>
      <w:r w:rsidR="00FA27E8">
        <w:rPr>
          <w:sz w:val="24"/>
          <w:lang w:val="es-GT"/>
        </w:rPr>
        <w:t>20</w:t>
      </w:r>
      <w:r w:rsidR="00F92257">
        <w:rPr>
          <w:sz w:val="24"/>
          <w:lang w:val="es-GT"/>
        </w:rPr>
        <w:t>20</w:t>
      </w:r>
      <w:r w:rsidR="00FA27E8">
        <w:rPr>
          <w:sz w:val="24"/>
          <w:lang w:val="es-GT"/>
        </w:rPr>
        <w:t xml:space="preserve"> al Congreso de la República de Guatemala.</w:t>
      </w:r>
    </w:p>
    <w:p w:rsidR="004774CB" w:rsidRPr="00AE50C9" w:rsidRDefault="003B0CE9" w:rsidP="003E0978">
      <w:pPr>
        <w:spacing w:after="0"/>
        <w:jc w:val="center"/>
        <w:outlineLvl w:val="0"/>
        <w:rPr>
          <w:sz w:val="24"/>
          <w:lang w:val="es-GT"/>
        </w:rPr>
      </w:pPr>
      <w:r w:rsidRPr="003B0CE9">
        <w:rPr>
          <w:b/>
          <w:sz w:val="24"/>
          <w:lang w:val="es-GT"/>
        </w:rPr>
        <w:t>Tabla No.</w:t>
      </w:r>
      <w:r w:rsidR="00CF0638">
        <w:rPr>
          <w:b/>
          <w:sz w:val="24"/>
          <w:lang w:val="es-GT"/>
        </w:rPr>
        <w:t>3</w:t>
      </w:r>
    </w:p>
    <w:p w:rsidR="005A7DCD" w:rsidRPr="00AE50C9" w:rsidRDefault="005A7DCD" w:rsidP="007672A2">
      <w:pPr>
        <w:spacing w:after="0"/>
        <w:jc w:val="center"/>
        <w:rPr>
          <w:b/>
          <w:sz w:val="24"/>
          <w:lang w:val="es-GT"/>
        </w:rPr>
      </w:pPr>
      <w:r w:rsidRPr="00AE50C9">
        <w:rPr>
          <w:b/>
          <w:sz w:val="24"/>
          <w:lang w:val="es-GT"/>
        </w:rPr>
        <w:t>Techo</w:t>
      </w:r>
      <w:r w:rsidR="00A8089B">
        <w:rPr>
          <w:b/>
          <w:sz w:val="24"/>
          <w:lang w:val="es-GT"/>
        </w:rPr>
        <w:t>s Indicativos de Presupuesto 2020</w:t>
      </w:r>
      <w:r w:rsidRPr="00AE50C9">
        <w:rPr>
          <w:b/>
          <w:sz w:val="24"/>
          <w:lang w:val="es-GT"/>
        </w:rPr>
        <w:t>-202</w:t>
      </w:r>
      <w:r w:rsidR="00A8089B">
        <w:rPr>
          <w:b/>
          <w:sz w:val="24"/>
          <w:lang w:val="es-GT"/>
        </w:rPr>
        <w:t>4</w:t>
      </w:r>
    </w:p>
    <w:p w:rsidR="005A7DCD" w:rsidRDefault="005A7DCD" w:rsidP="007672A2">
      <w:pPr>
        <w:spacing w:after="0"/>
        <w:jc w:val="center"/>
        <w:rPr>
          <w:b/>
          <w:sz w:val="24"/>
          <w:lang w:val="es-GT"/>
        </w:rPr>
      </w:pPr>
      <w:r w:rsidRPr="00AE50C9">
        <w:rPr>
          <w:b/>
          <w:sz w:val="24"/>
          <w:lang w:val="es-GT"/>
        </w:rPr>
        <w:t>(Millones de Q.)</w:t>
      </w:r>
    </w:p>
    <w:p w:rsidR="007672A2" w:rsidRDefault="007672A2" w:rsidP="007672A2">
      <w:pPr>
        <w:spacing w:after="0"/>
        <w:jc w:val="center"/>
        <w:rPr>
          <w:b/>
          <w:sz w:val="24"/>
          <w:lang w:val="es-GT"/>
        </w:rPr>
      </w:pPr>
    </w:p>
    <w:tbl>
      <w:tblPr>
        <w:tblW w:w="5000" w:type="pct"/>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992"/>
        <w:gridCol w:w="1072"/>
        <w:gridCol w:w="1072"/>
        <w:gridCol w:w="1195"/>
        <w:gridCol w:w="1195"/>
        <w:gridCol w:w="1194"/>
      </w:tblGrid>
      <w:tr w:rsidR="005101A9" w:rsidRPr="003841EF" w:rsidTr="003841EF">
        <w:trPr>
          <w:trHeight w:val="315"/>
          <w:tblHeader/>
        </w:trPr>
        <w:tc>
          <w:tcPr>
            <w:tcW w:w="1716" w:type="pct"/>
            <w:tcBorders>
              <w:top w:val="nil"/>
              <w:left w:val="nil"/>
              <w:bottom w:val="single" w:sz="24" w:space="0" w:color="4BACC6"/>
              <w:right w:val="nil"/>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Entidad</w:t>
            </w:r>
          </w:p>
        </w:tc>
        <w:tc>
          <w:tcPr>
            <w:tcW w:w="615" w:type="pct"/>
            <w:tcBorders>
              <w:top w:val="nil"/>
              <w:left w:val="nil"/>
              <w:bottom w:val="single" w:sz="24" w:space="0" w:color="4BACC6"/>
              <w:right w:val="nil"/>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2020</w:t>
            </w:r>
          </w:p>
        </w:tc>
        <w:tc>
          <w:tcPr>
            <w:tcW w:w="615" w:type="pct"/>
            <w:tcBorders>
              <w:top w:val="nil"/>
              <w:left w:val="nil"/>
              <w:bottom w:val="single" w:sz="24" w:space="0" w:color="4BACC6"/>
              <w:right w:val="nil"/>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2021</w:t>
            </w:r>
          </w:p>
        </w:tc>
        <w:tc>
          <w:tcPr>
            <w:tcW w:w="685" w:type="pct"/>
            <w:tcBorders>
              <w:top w:val="nil"/>
              <w:left w:val="nil"/>
              <w:bottom w:val="single" w:sz="24" w:space="0" w:color="4BACC6"/>
              <w:right w:val="nil"/>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2022</w:t>
            </w:r>
          </w:p>
        </w:tc>
        <w:tc>
          <w:tcPr>
            <w:tcW w:w="685" w:type="pct"/>
            <w:tcBorders>
              <w:top w:val="nil"/>
              <w:left w:val="nil"/>
              <w:bottom w:val="single" w:sz="24" w:space="0" w:color="4BACC6"/>
              <w:right w:val="nil"/>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2023</w:t>
            </w:r>
          </w:p>
        </w:tc>
        <w:tc>
          <w:tcPr>
            <w:tcW w:w="685" w:type="pct"/>
            <w:tcBorders>
              <w:top w:val="nil"/>
              <w:left w:val="nil"/>
              <w:bottom w:val="single" w:sz="24" w:space="0" w:color="4BACC6"/>
              <w:right w:val="nil"/>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2024</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jc w:val="center"/>
              <w:rPr>
                <w:rFonts w:eastAsia="Times New Roman"/>
                <w:b/>
                <w:bCs/>
                <w:color w:val="000000"/>
                <w:sz w:val="24"/>
                <w:szCs w:val="24"/>
                <w:lang w:eastAsia="es-ES"/>
              </w:rPr>
            </w:pPr>
            <w:r w:rsidRPr="00687463">
              <w:rPr>
                <w:rFonts w:eastAsia="Times New Roman"/>
                <w:b/>
                <w:bCs/>
                <w:color w:val="000000"/>
                <w:sz w:val="24"/>
                <w:szCs w:val="24"/>
                <w:lang w:eastAsia="es-ES"/>
              </w:rPr>
              <w:t>Total</w:t>
            </w:r>
            <w:r w:rsidR="005101A9" w:rsidRPr="003841EF">
              <w:rPr>
                <w:rFonts w:eastAsia="Times New Roman"/>
                <w:b/>
                <w:bCs/>
                <w:color w:val="000000"/>
                <w:sz w:val="24"/>
                <w:szCs w:val="24"/>
                <w:lang w:eastAsia="es-ES"/>
              </w:rPr>
              <w:t>:</w:t>
            </w:r>
          </w:p>
        </w:tc>
        <w:tc>
          <w:tcPr>
            <w:tcW w:w="615" w:type="pct"/>
            <w:tcBorders>
              <w:top w:val="nil"/>
              <w:left w:val="nil"/>
              <w:bottom w:val="nil"/>
              <w:right w:val="nil"/>
            </w:tcBorders>
            <w:shd w:val="clear" w:color="auto" w:fill="D2EAF1"/>
            <w:hideMark/>
          </w:tcPr>
          <w:p w:rsidR="00687463" w:rsidRPr="00687463" w:rsidRDefault="00687463" w:rsidP="003841EF">
            <w:pPr>
              <w:spacing w:after="0" w:line="240" w:lineRule="auto"/>
              <w:jc w:val="right"/>
              <w:rPr>
                <w:rFonts w:eastAsia="Times New Roman"/>
                <w:b/>
                <w:bCs/>
                <w:color w:val="000000"/>
                <w:sz w:val="24"/>
                <w:szCs w:val="24"/>
                <w:u w:val="single"/>
                <w:lang w:eastAsia="es-ES"/>
              </w:rPr>
            </w:pPr>
            <w:r w:rsidRPr="00687463">
              <w:rPr>
                <w:rFonts w:eastAsia="Times New Roman"/>
                <w:b/>
                <w:bCs/>
                <w:color w:val="000000"/>
                <w:sz w:val="24"/>
                <w:szCs w:val="24"/>
                <w:u w:val="single"/>
                <w:lang w:eastAsia="es-ES"/>
              </w:rPr>
              <w:t>91,808.0</w:t>
            </w:r>
          </w:p>
        </w:tc>
        <w:tc>
          <w:tcPr>
            <w:tcW w:w="615" w:type="pct"/>
            <w:tcBorders>
              <w:top w:val="nil"/>
              <w:left w:val="nil"/>
              <w:bottom w:val="nil"/>
              <w:right w:val="nil"/>
            </w:tcBorders>
            <w:shd w:val="clear" w:color="auto" w:fill="D2EAF1"/>
            <w:hideMark/>
          </w:tcPr>
          <w:p w:rsidR="00687463" w:rsidRPr="00687463" w:rsidRDefault="00687463" w:rsidP="003841EF">
            <w:pPr>
              <w:spacing w:after="0" w:line="240" w:lineRule="auto"/>
              <w:jc w:val="right"/>
              <w:rPr>
                <w:rFonts w:eastAsia="Times New Roman"/>
                <w:b/>
                <w:bCs/>
                <w:color w:val="000000"/>
                <w:sz w:val="24"/>
                <w:szCs w:val="24"/>
                <w:u w:val="single"/>
                <w:lang w:eastAsia="es-ES"/>
              </w:rPr>
            </w:pPr>
            <w:r w:rsidRPr="00687463">
              <w:rPr>
                <w:rFonts w:eastAsia="Times New Roman"/>
                <w:b/>
                <w:bCs/>
                <w:color w:val="000000"/>
                <w:sz w:val="24"/>
                <w:szCs w:val="24"/>
                <w:u w:val="single"/>
                <w:lang w:eastAsia="es-ES"/>
              </w:rPr>
              <w:t>95,764.8</w:t>
            </w:r>
          </w:p>
        </w:tc>
        <w:tc>
          <w:tcPr>
            <w:tcW w:w="685" w:type="pct"/>
            <w:tcBorders>
              <w:top w:val="nil"/>
              <w:left w:val="nil"/>
              <w:bottom w:val="nil"/>
              <w:right w:val="nil"/>
            </w:tcBorders>
            <w:shd w:val="clear" w:color="auto" w:fill="D2EAF1"/>
            <w:hideMark/>
          </w:tcPr>
          <w:p w:rsidR="00687463" w:rsidRPr="00687463" w:rsidRDefault="00687463" w:rsidP="003841EF">
            <w:pPr>
              <w:spacing w:after="0" w:line="240" w:lineRule="auto"/>
              <w:jc w:val="right"/>
              <w:rPr>
                <w:rFonts w:eastAsia="Times New Roman"/>
                <w:b/>
                <w:bCs/>
                <w:color w:val="000000"/>
                <w:sz w:val="24"/>
                <w:szCs w:val="24"/>
                <w:u w:val="single"/>
                <w:lang w:eastAsia="es-ES"/>
              </w:rPr>
            </w:pPr>
            <w:r w:rsidRPr="00687463">
              <w:rPr>
                <w:rFonts w:eastAsia="Times New Roman"/>
                <w:b/>
                <w:bCs/>
                <w:color w:val="000000"/>
                <w:sz w:val="24"/>
                <w:szCs w:val="24"/>
                <w:u w:val="single"/>
                <w:lang w:eastAsia="es-ES"/>
              </w:rPr>
              <w:t>103,138.3</w:t>
            </w:r>
          </w:p>
        </w:tc>
        <w:tc>
          <w:tcPr>
            <w:tcW w:w="685" w:type="pct"/>
            <w:tcBorders>
              <w:top w:val="nil"/>
              <w:left w:val="nil"/>
              <w:bottom w:val="nil"/>
              <w:right w:val="nil"/>
            </w:tcBorders>
            <w:shd w:val="clear" w:color="auto" w:fill="D2EAF1"/>
            <w:hideMark/>
          </w:tcPr>
          <w:p w:rsidR="00687463" w:rsidRPr="00687463" w:rsidRDefault="00687463" w:rsidP="003841EF">
            <w:pPr>
              <w:spacing w:after="0" w:line="240" w:lineRule="auto"/>
              <w:jc w:val="right"/>
              <w:rPr>
                <w:rFonts w:eastAsia="Times New Roman"/>
                <w:b/>
                <w:bCs/>
                <w:color w:val="000000"/>
                <w:sz w:val="24"/>
                <w:szCs w:val="24"/>
                <w:u w:val="single"/>
                <w:lang w:eastAsia="es-ES"/>
              </w:rPr>
            </w:pPr>
            <w:r w:rsidRPr="00687463">
              <w:rPr>
                <w:rFonts w:eastAsia="Times New Roman"/>
                <w:b/>
                <w:bCs/>
                <w:color w:val="000000"/>
                <w:sz w:val="24"/>
                <w:szCs w:val="24"/>
                <w:u w:val="single"/>
                <w:lang w:eastAsia="es-ES"/>
              </w:rPr>
              <w:t>110,293.4</w:t>
            </w:r>
          </w:p>
        </w:tc>
        <w:tc>
          <w:tcPr>
            <w:tcW w:w="685" w:type="pct"/>
            <w:tcBorders>
              <w:top w:val="nil"/>
              <w:left w:val="nil"/>
              <w:bottom w:val="nil"/>
            </w:tcBorders>
            <w:shd w:val="clear" w:color="auto" w:fill="D2EAF1"/>
            <w:hideMark/>
          </w:tcPr>
          <w:p w:rsidR="00687463" w:rsidRPr="00687463" w:rsidRDefault="00687463" w:rsidP="003841EF">
            <w:pPr>
              <w:spacing w:after="0" w:line="240" w:lineRule="auto"/>
              <w:jc w:val="right"/>
              <w:rPr>
                <w:rFonts w:eastAsia="Times New Roman"/>
                <w:b/>
                <w:bCs/>
                <w:color w:val="000000"/>
                <w:sz w:val="24"/>
                <w:szCs w:val="24"/>
                <w:u w:val="single"/>
                <w:lang w:eastAsia="es-ES"/>
              </w:rPr>
            </w:pPr>
            <w:r w:rsidRPr="00687463">
              <w:rPr>
                <w:rFonts w:eastAsia="Times New Roman"/>
                <w:b/>
                <w:bCs/>
                <w:color w:val="000000"/>
                <w:sz w:val="24"/>
                <w:szCs w:val="24"/>
                <w:u w:val="single"/>
                <w:lang w:eastAsia="es-ES"/>
              </w:rPr>
              <w:t>118,864.5</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Presidencia de la República</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234.0</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242.0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252.0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262.0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272.0</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Relaciones Exteriores</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598.0</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598.7</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620.4</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643.7</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666.6</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Gobernación</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5,469.2</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5,909.3</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6,452.2</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7,150.3</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7,839.0</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la Defensa Nacional</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2,628.1</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2,772.5</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2,960.8</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3,168.6</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3,394.2</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Finanzas Públicas</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380.2</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402.0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413.3</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428.6</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444.5</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Educación</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17,501.6</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18,108.8</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19,065.3</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20,122.2</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22,186.5</w:t>
            </w:r>
          </w:p>
        </w:tc>
      </w:tr>
      <w:tr w:rsidR="00687463" w:rsidRPr="00687463" w:rsidTr="003841EF">
        <w:trPr>
          <w:trHeight w:val="630"/>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Salud Pública y Asistencia Social</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8,198.4</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8,463.7</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9,939.8</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10,961.0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12,421.4</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 xml:space="preserve">Ministerio de Trabajo y </w:t>
            </w:r>
            <w:r w:rsidRPr="00687463">
              <w:rPr>
                <w:rFonts w:eastAsia="Times New Roman"/>
                <w:color w:val="000000"/>
                <w:sz w:val="24"/>
                <w:szCs w:val="24"/>
                <w:lang w:eastAsia="es-ES"/>
              </w:rPr>
              <w:lastRenderedPageBreak/>
              <w:t>Previsión Social</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lastRenderedPageBreak/>
              <w:t>664.3</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668.3</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674.9</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681.2</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687.4</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Economía</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390.6</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366.5</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378.7</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391.0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404.0</w:t>
            </w:r>
          </w:p>
        </w:tc>
      </w:tr>
      <w:tr w:rsidR="005101A9" w:rsidRPr="003841EF" w:rsidTr="003841EF">
        <w:trPr>
          <w:trHeight w:val="630"/>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Agricultura, Ganadería y Alimentación</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1,314.5</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1,842.3</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2,185.9</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2,407.1</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2,636.5</w:t>
            </w:r>
          </w:p>
        </w:tc>
      </w:tr>
      <w:tr w:rsidR="00687463" w:rsidRPr="00687463" w:rsidTr="003841EF">
        <w:trPr>
          <w:trHeight w:val="630"/>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Comunicaciones, Infraestructura y Vivienda</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5,049.6</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6,657.0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7,014.1</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7,644.0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8,031.6</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Energía y Minas</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81.9</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86.2</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89.5</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92.5</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222.3</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Cultura y Deportes</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560.3</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577.2</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606.6</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642.1</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663.5</w:t>
            </w:r>
          </w:p>
        </w:tc>
      </w:tr>
      <w:tr w:rsidR="005101A9" w:rsidRPr="003841EF" w:rsidTr="003841EF">
        <w:trPr>
          <w:trHeight w:val="630"/>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Secretarías y Otras Dependencias del Ejecutivo</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1,493.5</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1,586.3</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1,618.5</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1,677.1</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1,738.5</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Ambiente y Recursos Naturales</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211.8</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210.1</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297.8</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296.0</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292.1</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Obligaciones del Estado a Cargo del Tesoro</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31,177.1</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31,120.9</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32,962.3</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35,135.6</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36,638.9</w:t>
            </w:r>
          </w:p>
        </w:tc>
      </w:tr>
      <w:tr w:rsidR="00687463" w:rsidRPr="00687463" w:rsidTr="003841EF">
        <w:trPr>
          <w:trHeight w:val="315"/>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Servicios de la Deuda Pública</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14,644.0</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14,822.9</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16,148.4</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16,988.8</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18,536.5</w:t>
            </w:r>
          </w:p>
        </w:tc>
      </w:tr>
      <w:tr w:rsidR="005101A9" w:rsidRPr="003841EF" w:rsidTr="003841EF">
        <w:trPr>
          <w:trHeight w:val="315"/>
        </w:trPr>
        <w:tc>
          <w:tcPr>
            <w:tcW w:w="1716" w:type="pct"/>
            <w:tcBorders>
              <w:top w:val="nil"/>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Ministerio de Desarrollo Social</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1,082.1</w:t>
            </w:r>
          </w:p>
        </w:tc>
        <w:tc>
          <w:tcPr>
            <w:tcW w:w="61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1,194.3</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1,317.0</w:t>
            </w:r>
          </w:p>
        </w:tc>
        <w:tc>
          <w:tcPr>
            <w:tcW w:w="685" w:type="pct"/>
            <w:tcBorders>
              <w:top w:val="nil"/>
              <w:left w:val="nil"/>
              <w:bottom w:val="nil"/>
              <w:right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1,455.8</w:t>
            </w:r>
          </w:p>
        </w:tc>
        <w:tc>
          <w:tcPr>
            <w:tcW w:w="685" w:type="pct"/>
            <w:tcBorders>
              <w:top w:val="nil"/>
              <w:left w:val="nil"/>
              <w:bottom w:val="nil"/>
            </w:tcBorders>
            <w:shd w:val="clear" w:color="auto" w:fill="D2EAF1"/>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1,638.2</w:t>
            </w:r>
          </w:p>
        </w:tc>
      </w:tr>
      <w:tr w:rsidR="00687463" w:rsidRPr="00687463" w:rsidTr="003841EF">
        <w:trPr>
          <w:trHeight w:val="330"/>
        </w:trPr>
        <w:tc>
          <w:tcPr>
            <w:tcW w:w="1716" w:type="pct"/>
            <w:tcBorders>
              <w:left w:val="nil"/>
              <w:bottom w:val="nil"/>
              <w:right w:val="single" w:sz="8" w:space="0" w:color="4BACC6"/>
            </w:tcBorders>
            <w:shd w:val="clear" w:color="auto" w:fill="FFFFFF"/>
            <w:hideMark/>
          </w:tcPr>
          <w:p w:rsidR="00687463" w:rsidRPr="00687463" w:rsidRDefault="00687463" w:rsidP="003841EF">
            <w:pPr>
              <w:spacing w:after="0" w:line="240" w:lineRule="auto"/>
              <w:rPr>
                <w:rFonts w:eastAsia="Times New Roman"/>
                <w:color w:val="000000"/>
                <w:sz w:val="24"/>
                <w:szCs w:val="24"/>
                <w:lang w:eastAsia="es-ES"/>
              </w:rPr>
            </w:pPr>
            <w:r w:rsidRPr="00687463">
              <w:rPr>
                <w:rFonts w:eastAsia="Times New Roman"/>
                <w:color w:val="000000"/>
                <w:sz w:val="24"/>
                <w:szCs w:val="24"/>
                <w:lang w:eastAsia="es-ES"/>
              </w:rPr>
              <w:t>Procuraduría General de la Nación</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128.8</w:t>
            </w:r>
          </w:p>
        </w:tc>
        <w:tc>
          <w:tcPr>
            <w:tcW w:w="61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135.8</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140.8</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145.8</w:t>
            </w:r>
          </w:p>
        </w:tc>
        <w:tc>
          <w:tcPr>
            <w:tcW w:w="685" w:type="pct"/>
            <w:vAlign w:val="bottom"/>
            <w:hideMark/>
          </w:tcPr>
          <w:p w:rsidR="00687463" w:rsidRPr="00687463" w:rsidRDefault="00687463" w:rsidP="003841EF">
            <w:pPr>
              <w:spacing w:after="0" w:line="240" w:lineRule="auto"/>
              <w:jc w:val="right"/>
              <w:rPr>
                <w:rFonts w:eastAsia="Times New Roman"/>
                <w:color w:val="000000"/>
                <w:sz w:val="24"/>
                <w:szCs w:val="24"/>
                <w:lang w:eastAsia="es-ES"/>
              </w:rPr>
            </w:pPr>
            <w:r w:rsidRPr="00687463">
              <w:rPr>
                <w:rFonts w:eastAsia="Times New Roman"/>
                <w:color w:val="000000"/>
                <w:sz w:val="24"/>
                <w:szCs w:val="24"/>
                <w:lang w:eastAsia="es-ES"/>
              </w:rPr>
              <w:t>150.8</w:t>
            </w:r>
          </w:p>
        </w:tc>
      </w:tr>
    </w:tbl>
    <w:p w:rsidR="005A7DCD" w:rsidRPr="00642542" w:rsidRDefault="00974102" w:rsidP="00642542">
      <w:pPr>
        <w:jc w:val="both"/>
        <w:rPr>
          <w:rFonts w:eastAsia="Times New Roman"/>
          <w:b/>
          <w:i/>
          <w:color w:val="000000"/>
          <w:sz w:val="24"/>
          <w:szCs w:val="24"/>
          <w:lang w:eastAsia="es-ES"/>
        </w:rPr>
      </w:pPr>
      <w:r w:rsidRPr="00687463">
        <w:rPr>
          <w:rFonts w:eastAsia="Times New Roman"/>
          <w:b/>
          <w:i/>
          <w:color w:val="000000"/>
          <w:szCs w:val="24"/>
          <w:lang w:eastAsia="es-ES"/>
        </w:rPr>
        <w:t>Nota: Pueden existir diferencias por redondeo</w:t>
      </w:r>
    </w:p>
    <w:p w:rsidR="00245C32" w:rsidRDefault="00245C32" w:rsidP="00321329">
      <w:pPr>
        <w:spacing w:after="0"/>
        <w:jc w:val="both"/>
        <w:rPr>
          <w:sz w:val="24"/>
          <w:lang w:val="es-GT"/>
        </w:rPr>
      </w:pPr>
    </w:p>
    <w:p w:rsidR="008A21AF" w:rsidRDefault="008A21AF" w:rsidP="00321329">
      <w:pPr>
        <w:spacing w:after="0"/>
        <w:jc w:val="both"/>
        <w:rPr>
          <w:sz w:val="24"/>
          <w:lang w:val="es-GT"/>
        </w:rPr>
      </w:pPr>
    </w:p>
    <w:p w:rsidR="00245C32" w:rsidRDefault="00245C32" w:rsidP="00321329">
      <w:pPr>
        <w:spacing w:after="0"/>
        <w:jc w:val="both"/>
        <w:rPr>
          <w:sz w:val="24"/>
          <w:lang w:val="es-GT"/>
        </w:rPr>
      </w:pPr>
    </w:p>
    <w:p w:rsidR="00CE5849" w:rsidRDefault="00321329" w:rsidP="008A21AF">
      <w:pPr>
        <w:spacing w:after="0"/>
        <w:jc w:val="both"/>
        <w:rPr>
          <w:sz w:val="24"/>
          <w:szCs w:val="24"/>
          <w:lang w:val="es-GT"/>
        </w:rPr>
      </w:pPr>
      <w:r>
        <w:rPr>
          <w:sz w:val="24"/>
          <w:lang w:val="es-GT"/>
        </w:rPr>
        <w:t xml:space="preserve">Información adicional sobre los </w:t>
      </w:r>
      <w:r w:rsidRPr="00321329">
        <w:rPr>
          <w:sz w:val="24"/>
          <w:szCs w:val="24"/>
          <w:lang w:val="es-GT"/>
        </w:rPr>
        <w:t xml:space="preserve">planteamientos de las instituciones realizados en los Talleres de Presupuesto Abierto, puede encontrarse en </w:t>
      </w:r>
      <w:r w:rsidR="002327B6">
        <w:rPr>
          <w:sz w:val="24"/>
          <w:szCs w:val="24"/>
          <w:lang w:val="es-GT"/>
        </w:rPr>
        <w:t xml:space="preserve">el </w:t>
      </w:r>
      <w:r w:rsidRPr="00321329">
        <w:rPr>
          <w:sz w:val="24"/>
          <w:szCs w:val="24"/>
          <w:lang w:val="es-GT"/>
        </w:rPr>
        <w:t>sitio</w:t>
      </w:r>
      <w:r w:rsidR="00CE5849">
        <w:rPr>
          <w:sz w:val="24"/>
          <w:szCs w:val="24"/>
          <w:lang w:val="es-GT"/>
        </w:rPr>
        <w:t xml:space="preserve"> y página siguientes:</w:t>
      </w:r>
    </w:p>
    <w:p w:rsidR="008A21AF" w:rsidRDefault="008A21AF" w:rsidP="008A21AF">
      <w:pPr>
        <w:spacing w:after="0"/>
        <w:jc w:val="both"/>
        <w:rPr>
          <w:sz w:val="24"/>
          <w:szCs w:val="24"/>
          <w:lang w:val="es-GT"/>
        </w:rPr>
      </w:pPr>
    </w:p>
    <w:p w:rsidR="00E52FF5" w:rsidRPr="00E52FF5" w:rsidRDefault="00E52FF5" w:rsidP="00CE5849">
      <w:pPr>
        <w:numPr>
          <w:ilvl w:val="0"/>
          <w:numId w:val="16"/>
        </w:numPr>
        <w:spacing w:after="0"/>
        <w:jc w:val="both"/>
        <w:rPr>
          <w:sz w:val="24"/>
          <w:lang w:val="es-GT"/>
        </w:rPr>
      </w:pPr>
      <w:hyperlink r:id="rId26" w:history="1">
        <w:r w:rsidRPr="00F94F29">
          <w:rPr>
            <w:rStyle w:val="Hipervnculo"/>
            <w:sz w:val="24"/>
            <w:lang w:val="es-GT"/>
          </w:rPr>
          <w:t>http://www.minfin.gob.gt/index.php/?option=com_content&amp;view=article&amp;id=5604&amp;Itemid=430</w:t>
        </w:r>
      </w:hyperlink>
      <w:r>
        <w:rPr>
          <w:sz w:val="24"/>
          <w:lang w:val="es-GT"/>
        </w:rPr>
        <w:t xml:space="preserve"> </w:t>
      </w:r>
    </w:p>
    <w:p w:rsidR="00321329" w:rsidRDefault="00321329" w:rsidP="006616B2">
      <w:pPr>
        <w:spacing w:after="0"/>
        <w:rPr>
          <w:sz w:val="24"/>
          <w:lang w:val="es-GT"/>
        </w:rPr>
      </w:pPr>
    </w:p>
    <w:p w:rsidR="002B064A" w:rsidRDefault="005072CF" w:rsidP="005072CF">
      <w:pPr>
        <w:spacing w:after="0"/>
        <w:jc w:val="both"/>
        <w:rPr>
          <w:sz w:val="24"/>
          <w:lang w:val="es-GT"/>
        </w:rPr>
      </w:pPr>
      <w:r>
        <w:rPr>
          <w:sz w:val="24"/>
          <w:lang w:val="es-GT"/>
        </w:rPr>
        <w:t xml:space="preserve">De igual manera, al ser enviado </w:t>
      </w:r>
      <w:r w:rsidR="00A70B77">
        <w:rPr>
          <w:sz w:val="24"/>
          <w:lang w:val="es-GT"/>
        </w:rPr>
        <w:t xml:space="preserve">por parte del Organismo Ejecutivo, </w:t>
      </w:r>
      <w:r>
        <w:rPr>
          <w:sz w:val="24"/>
          <w:lang w:val="es-GT"/>
        </w:rPr>
        <w:t xml:space="preserve">el </w:t>
      </w:r>
      <w:r w:rsidR="00A70B77">
        <w:rPr>
          <w:sz w:val="24"/>
          <w:lang w:val="es-GT"/>
        </w:rPr>
        <w:t>“</w:t>
      </w:r>
      <w:r>
        <w:rPr>
          <w:sz w:val="24"/>
          <w:lang w:val="es-GT"/>
        </w:rPr>
        <w:t>Proyecto de Presupuesto General de Ingresos y Egresos del Est</w:t>
      </w:r>
      <w:r w:rsidR="00245C32">
        <w:rPr>
          <w:sz w:val="24"/>
          <w:lang w:val="es-GT"/>
        </w:rPr>
        <w:t>ado para el Ejercicio Fiscal 2020</w:t>
      </w:r>
      <w:r w:rsidR="00A70B77">
        <w:rPr>
          <w:sz w:val="24"/>
          <w:lang w:val="es-GT"/>
        </w:rPr>
        <w:t>”</w:t>
      </w:r>
      <w:r>
        <w:rPr>
          <w:sz w:val="24"/>
          <w:lang w:val="es-GT"/>
        </w:rPr>
        <w:t xml:space="preserve"> al Congreso de la República de Guatemala, éste podrá ser consultado en el vínculo</w:t>
      </w:r>
      <w:r w:rsidR="002B064A">
        <w:rPr>
          <w:sz w:val="24"/>
          <w:lang w:val="es-GT"/>
        </w:rPr>
        <w:t>:</w:t>
      </w:r>
    </w:p>
    <w:p w:rsidR="008A21AF" w:rsidRDefault="008A21AF" w:rsidP="005072CF">
      <w:pPr>
        <w:spacing w:after="0"/>
        <w:jc w:val="both"/>
        <w:rPr>
          <w:sz w:val="24"/>
          <w:lang w:val="es-GT"/>
        </w:rPr>
      </w:pPr>
    </w:p>
    <w:p w:rsidR="005072CF" w:rsidRDefault="00A43AF0" w:rsidP="002B064A">
      <w:pPr>
        <w:numPr>
          <w:ilvl w:val="0"/>
          <w:numId w:val="18"/>
        </w:numPr>
        <w:spacing w:after="0"/>
        <w:jc w:val="both"/>
        <w:rPr>
          <w:sz w:val="24"/>
          <w:lang w:val="es-GT"/>
        </w:rPr>
      </w:pPr>
      <w:hyperlink r:id="rId27" w:history="1">
        <w:r w:rsidRPr="00F94F29">
          <w:rPr>
            <w:rStyle w:val="Hipervnculo"/>
            <w:sz w:val="24"/>
            <w:lang w:val="es-GT"/>
          </w:rPr>
          <w:t>http://www.minfin.gob.gt/index.php/proyecto-de-presupuesto</w:t>
        </w:r>
      </w:hyperlink>
      <w:r>
        <w:rPr>
          <w:sz w:val="24"/>
          <w:lang w:val="es-GT"/>
        </w:rPr>
        <w:t xml:space="preserve"> </w:t>
      </w:r>
    </w:p>
    <w:p w:rsidR="005A6C70" w:rsidRDefault="005A6C70" w:rsidP="005A6C70">
      <w:pPr>
        <w:spacing w:after="0"/>
        <w:jc w:val="both"/>
        <w:rPr>
          <w:sz w:val="24"/>
          <w:lang w:val="es-GT"/>
        </w:rPr>
      </w:pPr>
    </w:p>
    <w:p w:rsidR="00CF0353" w:rsidRPr="00662EBA" w:rsidRDefault="001610F9" w:rsidP="003E0978">
      <w:pPr>
        <w:jc w:val="both"/>
        <w:outlineLvl w:val="0"/>
        <w:rPr>
          <w:rFonts w:cs="Calibri"/>
          <w:b/>
          <w:sz w:val="28"/>
          <w:szCs w:val="24"/>
        </w:rPr>
      </w:pPr>
      <w:r>
        <w:rPr>
          <w:rFonts w:cs="Calibri"/>
          <w:b/>
          <w:sz w:val="28"/>
          <w:szCs w:val="24"/>
        </w:rPr>
        <w:br w:type="page"/>
      </w:r>
      <w:r w:rsidR="00CF0353" w:rsidRPr="00662EBA">
        <w:rPr>
          <w:rFonts w:cs="Calibri"/>
          <w:b/>
          <w:sz w:val="28"/>
          <w:szCs w:val="24"/>
        </w:rPr>
        <w:lastRenderedPageBreak/>
        <w:t>G</w:t>
      </w:r>
      <w:r w:rsidR="00791045" w:rsidRPr="00662EBA">
        <w:rPr>
          <w:b/>
          <w:sz w:val="28"/>
          <w:lang w:val="es-GT"/>
        </w:rPr>
        <w:t>losario</w:t>
      </w:r>
    </w:p>
    <w:p w:rsidR="00CF0353" w:rsidRPr="00B4225F" w:rsidRDefault="00CF0353" w:rsidP="00CF0353">
      <w:pPr>
        <w:autoSpaceDE w:val="0"/>
        <w:autoSpaceDN w:val="0"/>
        <w:adjustRightInd w:val="0"/>
        <w:spacing w:after="0" w:line="240" w:lineRule="auto"/>
        <w:jc w:val="both"/>
        <w:rPr>
          <w:rFonts w:cs="Calibri"/>
          <w:sz w:val="24"/>
          <w:szCs w:val="24"/>
        </w:rPr>
      </w:pPr>
    </w:p>
    <w:p w:rsidR="00CF0353" w:rsidRPr="00B4225F"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Carga Tributaria:</w:t>
      </w:r>
      <w:r w:rsidRPr="00B4225F">
        <w:rPr>
          <w:rFonts w:cs="Calibri"/>
          <w:sz w:val="24"/>
          <w:szCs w:val="24"/>
        </w:rPr>
        <w:t xml:space="preserve"> Es el porcentaje que representa el monto de los ingresos </w:t>
      </w:r>
      <w:r w:rsidR="00D555C6">
        <w:rPr>
          <w:rFonts w:cs="Calibri"/>
          <w:sz w:val="24"/>
          <w:szCs w:val="24"/>
        </w:rPr>
        <w:t>tributarios</w:t>
      </w:r>
      <w:r w:rsidRPr="00B4225F">
        <w:rPr>
          <w:rFonts w:cs="Calibri"/>
          <w:sz w:val="24"/>
          <w:szCs w:val="24"/>
        </w:rPr>
        <w:t xml:space="preserve">, </w:t>
      </w:r>
      <w:r>
        <w:rPr>
          <w:rFonts w:cs="Calibri"/>
          <w:sz w:val="24"/>
          <w:szCs w:val="24"/>
        </w:rPr>
        <w:t>co</w:t>
      </w:r>
      <w:r w:rsidRPr="00B4225F">
        <w:rPr>
          <w:rFonts w:cs="Calibri"/>
          <w:sz w:val="24"/>
          <w:szCs w:val="24"/>
        </w:rPr>
        <w:t xml:space="preserve">n relación </w:t>
      </w:r>
      <w:r w:rsidR="00D555C6">
        <w:rPr>
          <w:rFonts w:cs="Calibri"/>
          <w:sz w:val="24"/>
          <w:szCs w:val="24"/>
        </w:rPr>
        <w:t>al</w:t>
      </w:r>
      <w:r w:rsidRPr="00B4225F">
        <w:rPr>
          <w:rFonts w:cs="Calibri"/>
          <w:sz w:val="24"/>
          <w:szCs w:val="24"/>
        </w:rPr>
        <w:t xml:space="preserve"> Producto Interno Bruto (PIB) del país.</w:t>
      </w:r>
    </w:p>
    <w:p w:rsidR="00CF0353"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Déficit Fiscal</w:t>
      </w:r>
      <w:r w:rsidRPr="00B4225F">
        <w:rPr>
          <w:rFonts w:cs="Calibri"/>
          <w:sz w:val="24"/>
          <w:szCs w:val="24"/>
        </w:rPr>
        <w:t>: Es la diferencia (negativa) entre los ingresos y los egresos públicos en un período determinado.</w:t>
      </w:r>
    </w:p>
    <w:p w:rsidR="00CF0353" w:rsidRDefault="00CF0353" w:rsidP="00CF0353">
      <w:pPr>
        <w:pStyle w:val="Prrafodelista"/>
        <w:numPr>
          <w:ilvl w:val="0"/>
          <w:numId w:val="14"/>
        </w:numPr>
        <w:ind w:left="714" w:hanging="357"/>
        <w:jc w:val="both"/>
        <w:rPr>
          <w:rFonts w:cs="Calibri"/>
          <w:sz w:val="24"/>
          <w:szCs w:val="24"/>
        </w:rPr>
      </w:pPr>
      <w:r>
        <w:rPr>
          <w:rFonts w:cs="Calibri"/>
          <w:b/>
          <w:sz w:val="24"/>
          <w:szCs w:val="24"/>
        </w:rPr>
        <w:t>Deuda Pública</w:t>
      </w:r>
      <w:r w:rsidRPr="00CF0353">
        <w:rPr>
          <w:rFonts w:cs="Calibri"/>
          <w:sz w:val="24"/>
          <w:szCs w:val="24"/>
        </w:rPr>
        <w:t>:</w:t>
      </w:r>
      <w:r>
        <w:rPr>
          <w:rFonts w:cs="Calibri"/>
          <w:sz w:val="24"/>
          <w:szCs w:val="24"/>
        </w:rPr>
        <w:t xml:space="preserve"> O</w:t>
      </w:r>
      <w:r w:rsidRPr="00CF0353">
        <w:rPr>
          <w:rFonts w:cs="Calibri"/>
          <w:sz w:val="24"/>
          <w:szCs w:val="24"/>
        </w:rPr>
        <w:t xml:space="preserve">bligaciones financieras (bonos, préstamos) contraídas por el gobierno, a través de las cuales se compromete a pagar intereses y el </w:t>
      </w:r>
      <w:r w:rsidR="00D555C6">
        <w:rPr>
          <w:rFonts w:cs="Calibri"/>
          <w:sz w:val="24"/>
          <w:szCs w:val="24"/>
        </w:rPr>
        <w:t>capital</w:t>
      </w:r>
      <w:r w:rsidRPr="00CF0353">
        <w:rPr>
          <w:rFonts w:cs="Calibri"/>
          <w:sz w:val="24"/>
          <w:szCs w:val="24"/>
        </w:rPr>
        <w:t xml:space="preserve"> original en </w:t>
      </w:r>
      <w:r w:rsidR="00D555C6">
        <w:rPr>
          <w:rFonts w:cs="Calibri"/>
          <w:sz w:val="24"/>
          <w:szCs w:val="24"/>
        </w:rPr>
        <w:t>las</w:t>
      </w:r>
      <w:r w:rsidRPr="00CF0353">
        <w:rPr>
          <w:rFonts w:cs="Calibri"/>
          <w:sz w:val="24"/>
          <w:szCs w:val="24"/>
        </w:rPr>
        <w:t xml:space="preserve"> fechas determinadas.</w:t>
      </w:r>
    </w:p>
    <w:p w:rsidR="00CF0353" w:rsidRPr="00D315C8" w:rsidRDefault="00CF0353" w:rsidP="00CF0353">
      <w:pPr>
        <w:pStyle w:val="Prrafodelista"/>
        <w:numPr>
          <w:ilvl w:val="0"/>
          <w:numId w:val="14"/>
        </w:numPr>
        <w:ind w:left="714" w:hanging="357"/>
        <w:jc w:val="both"/>
        <w:rPr>
          <w:rFonts w:cs="Calibri"/>
          <w:sz w:val="24"/>
          <w:szCs w:val="24"/>
        </w:rPr>
      </w:pPr>
      <w:r w:rsidRPr="00D315C8">
        <w:rPr>
          <w:rFonts w:cs="Calibri"/>
          <w:b/>
          <w:sz w:val="24"/>
          <w:szCs w:val="24"/>
        </w:rPr>
        <w:t>Gasto Presupuestario</w:t>
      </w:r>
      <w:r w:rsidR="002B064A" w:rsidRPr="00D315C8">
        <w:rPr>
          <w:rFonts w:cs="Calibri"/>
          <w:b/>
          <w:sz w:val="24"/>
          <w:szCs w:val="24"/>
        </w:rPr>
        <w:t>:</w:t>
      </w:r>
      <w:r w:rsidR="002B064A" w:rsidRPr="00D315C8">
        <w:rPr>
          <w:rFonts w:cs="Calibri"/>
          <w:sz w:val="24"/>
          <w:szCs w:val="24"/>
        </w:rPr>
        <w:t xml:space="preserve"> Incluye</w:t>
      </w:r>
      <w:r w:rsidRPr="00D315C8">
        <w:rPr>
          <w:rFonts w:cs="Calibri"/>
          <w:sz w:val="24"/>
          <w:szCs w:val="24"/>
        </w:rPr>
        <w:t xml:space="preserve"> el gasto total de la Administración Central más el pago de amortizaciones de deuda </w:t>
      </w:r>
      <w:r w:rsidR="00665CC7">
        <w:rPr>
          <w:rFonts w:cs="Calibri"/>
          <w:sz w:val="24"/>
          <w:szCs w:val="24"/>
        </w:rPr>
        <w:t>pública</w:t>
      </w:r>
      <w:r w:rsidRPr="00D315C8">
        <w:rPr>
          <w:rFonts w:cs="Calibri"/>
          <w:sz w:val="24"/>
          <w:szCs w:val="24"/>
        </w:rPr>
        <w:t>, que están incluidas dentro del presupuesto de ingresos y gastos de cada año.</w:t>
      </w:r>
    </w:p>
    <w:p w:rsidR="00CF0353" w:rsidRDefault="00CF0353" w:rsidP="00CF0353">
      <w:pPr>
        <w:pStyle w:val="Prrafodelista"/>
        <w:numPr>
          <w:ilvl w:val="0"/>
          <w:numId w:val="14"/>
        </w:numPr>
        <w:ind w:left="714" w:hanging="357"/>
        <w:jc w:val="both"/>
        <w:rPr>
          <w:rFonts w:cs="Calibri"/>
          <w:sz w:val="24"/>
          <w:szCs w:val="24"/>
        </w:rPr>
      </w:pPr>
      <w:r w:rsidRPr="00D315C8">
        <w:rPr>
          <w:rFonts w:cs="Calibri"/>
          <w:b/>
          <w:sz w:val="24"/>
          <w:szCs w:val="24"/>
        </w:rPr>
        <w:t>Gasto</w:t>
      </w:r>
      <w:r w:rsidRPr="00D315C8">
        <w:rPr>
          <w:b/>
        </w:rPr>
        <w:t xml:space="preserve"> </w:t>
      </w:r>
      <w:r>
        <w:rPr>
          <w:rFonts w:cs="Calibri"/>
          <w:b/>
          <w:sz w:val="24"/>
          <w:szCs w:val="24"/>
        </w:rPr>
        <w:t>T</w:t>
      </w:r>
      <w:r w:rsidRPr="00D315C8">
        <w:rPr>
          <w:rFonts w:cs="Calibri"/>
          <w:b/>
          <w:sz w:val="24"/>
          <w:szCs w:val="24"/>
        </w:rPr>
        <w:t>otal:</w:t>
      </w:r>
      <w:r w:rsidRPr="00D315C8">
        <w:rPr>
          <w:rFonts w:cs="Calibri"/>
          <w:sz w:val="24"/>
          <w:szCs w:val="24"/>
        </w:rPr>
        <w:t xml:space="preserve"> </w:t>
      </w:r>
      <w:r>
        <w:rPr>
          <w:rFonts w:cs="Calibri"/>
          <w:sz w:val="24"/>
          <w:szCs w:val="24"/>
        </w:rPr>
        <w:t>S</w:t>
      </w:r>
      <w:r w:rsidRPr="00D315C8">
        <w:rPr>
          <w:rFonts w:cs="Calibri"/>
          <w:sz w:val="24"/>
          <w:szCs w:val="24"/>
        </w:rPr>
        <w:t>e refiere al gasto de la Administración Central para el cumplimiento de sus funciones y la inversión, así como el pago de intereses de Deuda Pública</w:t>
      </w:r>
      <w:r w:rsidR="00E94DC3">
        <w:rPr>
          <w:rFonts w:cs="Calibri"/>
          <w:sz w:val="24"/>
          <w:szCs w:val="24"/>
        </w:rPr>
        <w:t>.</w:t>
      </w:r>
    </w:p>
    <w:p w:rsidR="00E94DC3" w:rsidRPr="00D315C8" w:rsidRDefault="00E94DC3" w:rsidP="00CF0353">
      <w:pPr>
        <w:pStyle w:val="Prrafodelista"/>
        <w:numPr>
          <w:ilvl w:val="0"/>
          <w:numId w:val="14"/>
        </w:numPr>
        <w:ind w:left="714" w:hanging="357"/>
        <w:jc w:val="both"/>
        <w:rPr>
          <w:rFonts w:cs="Calibri"/>
          <w:sz w:val="24"/>
          <w:szCs w:val="24"/>
        </w:rPr>
      </w:pPr>
      <w:r>
        <w:rPr>
          <w:rFonts w:cs="Calibri"/>
          <w:b/>
          <w:sz w:val="24"/>
          <w:szCs w:val="24"/>
        </w:rPr>
        <w:t>Importaciones y Exportaciones FOB:</w:t>
      </w:r>
      <w:r>
        <w:rPr>
          <w:rFonts w:cs="Calibri"/>
          <w:sz w:val="24"/>
          <w:szCs w:val="24"/>
        </w:rPr>
        <w:t xml:space="preserve"> </w:t>
      </w:r>
      <w:r w:rsidRPr="00E94DC3">
        <w:rPr>
          <w:rFonts w:cs="Calibri"/>
          <w:sz w:val="24"/>
          <w:szCs w:val="24"/>
        </w:rPr>
        <w:t>En economía, una</w:t>
      </w:r>
      <w:r>
        <w:rPr>
          <w:rFonts w:cs="Calibri"/>
          <w:sz w:val="24"/>
          <w:szCs w:val="24"/>
        </w:rPr>
        <w:t xml:space="preserve"> “</w:t>
      </w:r>
      <w:r w:rsidRPr="00E94DC3">
        <w:rPr>
          <w:rFonts w:cs="Calibri"/>
          <w:sz w:val="24"/>
          <w:szCs w:val="24"/>
        </w:rPr>
        <w:t>exportación</w:t>
      </w:r>
      <w:r>
        <w:rPr>
          <w:rFonts w:cs="Calibri"/>
          <w:sz w:val="24"/>
          <w:szCs w:val="24"/>
        </w:rPr>
        <w:t xml:space="preserve">” </w:t>
      </w:r>
      <w:r w:rsidRPr="00E94DC3">
        <w:rPr>
          <w:rFonts w:cs="Calibri"/>
          <w:sz w:val="24"/>
          <w:szCs w:val="24"/>
        </w:rPr>
        <w:t>es cualquier bien o servicio enviado fuera del territorio nacional.</w:t>
      </w:r>
      <w:r w:rsidR="00645668">
        <w:rPr>
          <w:rFonts w:cs="Calibri"/>
          <w:sz w:val="24"/>
          <w:szCs w:val="24"/>
        </w:rPr>
        <w:t xml:space="preserve"> L</w:t>
      </w:r>
      <w:r w:rsidRPr="00E94DC3">
        <w:rPr>
          <w:rFonts w:cs="Calibri"/>
          <w:sz w:val="24"/>
          <w:szCs w:val="24"/>
        </w:rPr>
        <w:t>a</w:t>
      </w:r>
      <w:r w:rsidR="00645668">
        <w:rPr>
          <w:rFonts w:cs="Calibri"/>
          <w:sz w:val="24"/>
          <w:szCs w:val="24"/>
        </w:rPr>
        <w:t xml:space="preserve"> “</w:t>
      </w:r>
      <w:r w:rsidRPr="00E94DC3">
        <w:rPr>
          <w:rFonts w:cs="Calibri"/>
          <w:sz w:val="24"/>
          <w:szCs w:val="24"/>
        </w:rPr>
        <w:t>importación</w:t>
      </w:r>
      <w:r w:rsidR="00645668">
        <w:rPr>
          <w:rFonts w:cs="Calibri"/>
          <w:sz w:val="24"/>
          <w:szCs w:val="24"/>
        </w:rPr>
        <w:t xml:space="preserve">” </w:t>
      </w:r>
      <w:r w:rsidRPr="00E94DC3">
        <w:rPr>
          <w:rFonts w:cs="Calibri"/>
          <w:sz w:val="24"/>
          <w:szCs w:val="24"/>
        </w:rPr>
        <w:t xml:space="preserve">es el transporte legítimo de bienes y servicios nacionales </w:t>
      </w:r>
      <w:r w:rsidR="00645668">
        <w:rPr>
          <w:rFonts w:cs="Calibri"/>
          <w:sz w:val="24"/>
          <w:szCs w:val="24"/>
        </w:rPr>
        <w:t>que vienen de otro</w:t>
      </w:r>
      <w:r w:rsidRPr="00E94DC3">
        <w:rPr>
          <w:rFonts w:cs="Calibri"/>
          <w:sz w:val="24"/>
          <w:szCs w:val="24"/>
        </w:rPr>
        <w:t xml:space="preserve"> país</w:t>
      </w:r>
      <w:r w:rsidR="00645668">
        <w:rPr>
          <w:rFonts w:cs="Calibri"/>
          <w:sz w:val="24"/>
          <w:szCs w:val="24"/>
        </w:rPr>
        <w:t xml:space="preserve">. Y en ambas acciones comerciales FOB se refiere a que luego de </w:t>
      </w:r>
      <w:r w:rsidR="00645668">
        <w:rPr>
          <w:noProof/>
          <w:sz w:val="24"/>
          <w:szCs w:val="24"/>
          <w:lang w:eastAsia="es-ES"/>
        </w:rPr>
        <w:t>sobrepasar la borda del buque (ó “franco a bordo”), el costo y riesgos de pérdida o daño de los bienes embarcados corresponde al comprador</w:t>
      </w:r>
      <w:r w:rsidRPr="00E94DC3">
        <w:rPr>
          <w:rFonts w:cs="Calibri"/>
          <w:sz w:val="24"/>
          <w:szCs w:val="24"/>
        </w:rPr>
        <w:t>.</w:t>
      </w:r>
    </w:p>
    <w:p w:rsidR="00CF0353" w:rsidRPr="00B4225F"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 xml:space="preserve">Inflación: </w:t>
      </w:r>
      <w:r w:rsidRPr="00B4225F">
        <w:rPr>
          <w:rFonts w:cs="Calibri"/>
          <w:sz w:val="24"/>
          <w:szCs w:val="24"/>
        </w:rPr>
        <w:t>Es el crecimiento continuo y generalizado de los precios de los bienes y servicios y factores productivos de una economía a lo largo del tiempo.</w:t>
      </w:r>
    </w:p>
    <w:p w:rsidR="00CF0353" w:rsidRPr="00B4225F"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 xml:space="preserve">Presupuesto </w:t>
      </w:r>
      <w:r>
        <w:rPr>
          <w:rFonts w:cs="Calibri"/>
          <w:b/>
          <w:sz w:val="24"/>
          <w:szCs w:val="24"/>
        </w:rPr>
        <w:t>Aprob</w:t>
      </w:r>
      <w:r w:rsidRPr="00AF69A1">
        <w:rPr>
          <w:rFonts w:cs="Calibri"/>
          <w:b/>
          <w:sz w:val="24"/>
          <w:szCs w:val="24"/>
        </w:rPr>
        <w:t>ado:</w:t>
      </w:r>
      <w:r w:rsidRPr="00B4225F">
        <w:rPr>
          <w:rFonts w:cs="Calibri"/>
          <w:sz w:val="24"/>
          <w:szCs w:val="24"/>
        </w:rPr>
        <w:t xml:space="preserve"> Se refiere a las asignaciones autorizadas a las </w:t>
      </w:r>
      <w:r>
        <w:rPr>
          <w:rFonts w:cs="Calibri"/>
          <w:sz w:val="24"/>
          <w:szCs w:val="24"/>
        </w:rPr>
        <w:t>entidades públicas</w:t>
      </w:r>
      <w:r w:rsidRPr="00B4225F">
        <w:rPr>
          <w:rFonts w:cs="Calibri"/>
          <w:sz w:val="24"/>
          <w:szCs w:val="24"/>
        </w:rPr>
        <w:t xml:space="preserve"> para que, a partir del inicio del año, realicen la ejecución de los programas y proyectos que benefician a la población. Dichas asignaciones son autorizadas por el Congreso de la República de Guatemala, en el Decreto que aprueba el Presupuesto General de Ingresos y Egresos del Estado, y que entra a regir a partir del 1 de enero de cada año.</w:t>
      </w:r>
    </w:p>
    <w:p w:rsidR="00CF0353" w:rsidRPr="00B4225F"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 xml:space="preserve">Presupuesto </w:t>
      </w:r>
      <w:r>
        <w:rPr>
          <w:rFonts w:cs="Calibri"/>
          <w:b/>
          <w:sz w:val="24"/>
          <w:szCs w:val="24"/>
        </w:rPr>
        <w:t>E</w:t>
      </w:r>
      <w:r w:rsidRPr="00AF69A1">
        <w:rPr>
          <w:rFonts w:cs="Calibri"/>
          <w:b/>
          <w:sz w:val="24"/>
          <w:szCs w:val="24"/>
        </w:rPr>
        <w:t>jecutado:</w:t>
      </w:r>
      <w:r w:rsidRPr="00B4225F">
        <w:rPr>
          <w:rFonts w:cs="Calibri"/>
          <w:sz w:val="24"/>
          <w:szCs w:val="24"/>
        </w:rPr>
        <w:t xml:space="preserve"> Es el monto de recursos que efectivamente se utilizaron en la producción de bienes y prestación de los servicios públicos en un período de tiempo, o al cierre del ejercicio fiscal. </w:t>
      </w:r>
      <w:r>
        <w:rPr>
          <w:rFonts w:cs="Calibri"/>
          <w:sz w:val="24"/>
          <w:szCs w:val="24"/>
        </w:rPr>
        <w:t>P</w:t>
      </w:r>
      <w:r w:rsidRPr="00B4225F">
        <w:rPr>
          <w:rFonts w:cs="Calibri"/>
          <w:sz w:val="24"/>
          <w:szCs w:val="24"/>
        </w:rPr>
        <w:t>uede analizarse a nivel total del presupuesto, por instituciones, programas, proyectos, actividades, insumos, entre otros.</w:t>
      </w:r>
    </w:p>
    <w:p w:rsidR="00CF0353" w:rsidRPr="00B4225F"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Presupuesto Indicativo:</w:t>
      </w:r>
      <w:r w:rsidRPr="00B4225F">
        <w:rPr>
          <w:rFonts w:cs="Calibri"/>
          <w:sz w:val="24"/>
          <w:szCs w:val="24"/>
        </w:rPr>
        <w:t xml:space="preserve"> </w:t>
      </w:r>
      <w:r>
        <w:rPr>
          <w:rFonts w:cs="Calibri"/>
          <w:sz w:val="24"/>
          <w:szCs w:val="24"/>
        </w:rPr>
        <w:t>L</w:t>
      </w:r>
      <w:r w:rsidRPr="00B4225F">
        <w:rPr>
          <w:rFonts w:cs="Calibri"/>
          <w:sz w:val="24"/>
          <w:szCs w:val="24"/>
        </w:rPr>
        <w:t xml:space="preserve">lamado también </w:t>
      </w:r>
      <w:r>
        <w:rPr>
          <w:rFonts w:cs="Calibri"/>
          <w:sz w:val="24"/>
          <w:szCs w:val="24"/>
        </w:rPr>
        <w:t>“t</w:t>
      </w:r>
      <w:r w:rsidRPr="00B4225F">
        <w:rPr>
          <w:rFonts w:cs="Calibri"/>
          <w:sz w:val="24"/>
          <w:szCs w:val="24"/>
        </w:rPr>
        <w:t>echos presupuestarios</w:t>
      </w:r>
      <w:r>
        <w:rPr>
          <w:rFonts w:cs="Calibri"/>
          <w:sz w:val="24"/>
          <w:szCs w:val="24"/>
        </w:rPr>
        <w:t>”</w:t>
      </w:r>
      <w:r w:rsidR="006B045C">
        <w:rPr>
          <w:rFonts w:cs="Calibri"/>
          <w:sz w:val="24"/>
          <w:szCs w:val="24"/>
        </w:rPr>
        <w:t>;</w:t>
      </w:r>
      <w:r w:rsidRPr="00B4225F">
        <w:rPr>
          <w:rFonts w:cs="Calibri"/>
          <w:sz w:val="24"/>
          <w:szCs w:val="24"/>
        </w:rPr>
        <w:t xml:space="preserve"> es el monto máximo de gasto autorizado por el Gabinete de Gobierno para </w:t>
      </w:r>
      <w:r>
        <w:rPr>
          <w:rFonts w:cs="Calibri"/>
          <w:sz w:val="24"/>
          <w:szCs w:val="24"/>
        </w:rPr>
        <w:t xml:space="preserve">el </w:t>
      </w:r>
      <w:r w:rsidR="00867AB7">
        <w:rPr>
          <w:rFonts w:cs="Calibri"/>
          <w:sz w:val="24"/>
          <w:szCs w:val="24"/>
        </w:rPr>
        <w:t>antep</w:t>
      </w:r>
      <w:r w:rsidR="006B045C">
        <w:rPr>
          <w:rFonts w:cs="Calibri"/>
          <w:sz w:val="24"/>
          <w:szCs w:val="24"/>
        </w:rPr>
        <w:t xml:space="preserve">royecto de </w:t>
      </w:r>
      <w:r>
        <w:rPr>
          <w:rFonts w:cs="Calibri"/>
          <w:sz w:val="24"/>
          <w:szCs w:val="24"/>
        </w:rPr>
        <w:t xml:space="preserve">presupuesto que elabora </w:t>
      </w:r>
      <w:r w:rsidRPr="00B4225F">
        <w:rPr>
          <w:rFonts w:cs="Calibri"/>
          <w:sz w:val="24"/>
          <w:szCs w:val="24"/>
        </w:rPr>
        <w:t>cada entidad.</w:t>
      </w:r>
      <w:r>
        <w:rPr>
          <w:rFonts w:cs="Calibri"/>
          <w:sz w:val="24"/>
          <w:szCs w:val="24"/>
        </w:rPr>
        <w:t xml:space="preserve"> </w:t>
      </w:r>
    </w:p>
    <w:p w:rsidR="00CF0353" w:rsidRDefault="00CF0353" w:rsidP="00CF0353">
      <w:pPr>
        <w:pStyle w:val="Prrafodelista"/>
        <w:numPr>
          <w:ilvl w:val="0"/>
          <w:numId w:val="14"/>
        </w:numPr>
        <w:ind w:left="714" w:hanging="357"/>
        <w:jc w:val="both"/>
        <w:rPr>
          <w:rFonts w:cs="Calibri"/>
          <w:sz w:val="24"/>
          <w:szCs w:val="24"/>
        </w:rPr>
      </w:pPr>
      <w:r w:rsidRPr="00AF69A1">
        <w:rPr>
          <w:rFonts w:cs="Calibri"/>
          <w:b/>
          <w:sz w:val="24"/>
          <w:szCs w:val="24"/>
        </w:rPr>
        <w:t>Presupuesto:</w:t>
      </w:r>
      <w:r w:rsidRPr="00B4225F">
        <w:rPr>
          <w:rFonts w:cs="Calibri"/>
          <w:sz w:val="24"/>
          <w:szCs w:val="24"/>
        </w:rPr>
        <w:t xml:space="preserve"> </w:t>
      </w:r>
      <w:r>
        <w:rPr>
          <w:rFonts w:cs="Calibri"/>
          <w:sz w:val="24"/>
          <w:szCs w:val="24"/>
        </w:rPr>
        <w:t>E</w:t>
      </w:r>
      <w:r w:rsidRPr="00B4225F">
        <w:rPr>
          <w:rFonts w:cs="Calibri"/>
          <w:sz w:val="24"/>
          <w:szCs w:val="24"/>
        </w:rPr>
        <w:t>s un supuesto previo sobre los ingresos que se espera</w:t>
      </w:r>
      <w:r w:rsidR="006B045C">
        <w:rPr>
          <w:rFonts w:cs="Calibri"/>
          <w:sz w:val="24"/>
          <w:szCs w:val="24"/>
        </w:rPr>
        <w:t>n</w:t>
      </w:r>
      <w:r w:rsidRPr="00B4225F">
        <w:rPr>
          <w:rFonts w:cs="Calibri"/>
          <w:sz w:val="24"/>
          <w:szCs w:val="24"/>
        </w:rPr>
        <w:t xml:space="preserve"> obtener y los egresos que se programan realizar para alcanzar los objetivos de gobierno.</w:t>
      </w:r>
    </w:p>
    <w:p w:rsidR="00081D35" w:rsidRPr="00702ED1" w:rsidRDefault="00081D35" w:rsidP="001A08F7">
      <w:pPr>
        <w:numPr>
          <w:ilvl w:val="0"/>
          <w:numId w:val="14"/>
        </w:numPr>
        <w:shd w:val="clear" w:color="auto" w:fill="FFFFFF"/>
        <w:spacing w:before="100" w:beforeAutospacing="1" w:after="100" w:afterAutospacing="1" w:line="336" w:lineRule="atLeast"/>
        <w:jc w:val="both"/>
        <w:rPr>
          <w:rFonts w:eastAsia="Times New Roman" w:cs="Arial"/>
          <w:sz w:val="24"/>
          <w:szCs w:val="24"/>
          <w:lang w:eastAsia="es-ES"/>
        </w:rPr>
      </w:pPr>
      <w:r w:rsidRPr="00702ED1">
        <w:rPr>
          <w:rFonts w:eastAsia="Times New Roman" w:cs="Arial"/>
          <w:b/>
          <w:bCs/>
          <w:color w:val="000000"/>
          <w:sz w:val="24"/>
          <w:szCs w:val="24"/>
          <w:lang w:eastAsia="es-ES"/>
        </w:rPr>
        <w:t>Tasa pasiva o de captación:</w:t>
      </w:r>
      <w:r w:rsidRPr="00702ED1">
        <w:rPr>
          <w:rFonts w:cs="Calibri"/>
          <w:sz w:val="24"/>
          <w:szCs w:val="24"/>
          <w:lang w:val="es-GT"/>
        </w:rPr>
        <w:t xml:space="preserve"> </w:t>
      </w:r>
      <w:r w:rsidRPr="00702ED1">
        <w:rPr>
          <w:rFonts w:eastAsia="Times New Roman" w:cs="Arial"/>
          <w:sz w:val="24"/>
          <w:szCs w:val="24"/>
          <w:lang w:eastAsia="es-ES"/>
        </w:rPr>
        <w:t>Es la tasa que cobran las entidades financieras por los préstamos otorgados a las personas naturales o empresas.</w:t>
      </w:r>
    </w:p>
    <w:p w:rsidR="00081D35" w:rsidRPr="00702ED1" w:rsidRDefault="00081D35" w:rsidP="00081D35">
      <w:pPr>
        <w:numPr>
          <w:ilvl w:val="0"/>
          <w:numId w:val="14"/>
        </w:numPr>
        <w:shd w:val="clear" w:color="auto" w:fill="FFFFFF"/>
        <w:spacing w:before="100" w:beforeAutospacing="1" w:after="100" w:afterAutospacing="1" w:line="336" w:lineRule="atLeast"/>
        <w:jc w:val="both"/>
        <w:rPr>
          <w:rFonts w:eastAsia="Times New Roman" w:cs="Arial"/>
          <w:sz w:val="24"/>
          <w:szCs w:val="24"/>
          <w:lang w:eastAsia="es-ES"/>
        </w:rPr>
      </w:pPr>
      <w:r w:rsidRPr="00702ED1">
        <w:rPr>
          <w:rFonts w:eastAsia="Times New Roman" w:cs="Arial"/>
          <w:b/>
          <w:sz w:val="24"/>
          <w:szCs w:val="24"/>
          <w:lang w:eastAsia="es-ES"/>
        </w:rPr>
        <w:lastRenderedPageBreak/>
        <w:t>La tasa activa o de colocación</w:t>
      </w:r>
      <w:r w:rsidRPr="00702ED1">
        <w:rPr>
          <w:rFonts w:eastAsia="Times New Roman" w:cs="Arial"/>
          <w:color w:val="616161"/>
          <w:sz w:val="24"/>
          <w:szCs w:val="24"/>
          <w:lang w:eastAsia="es-ES"/>
        </w:rPr>
        <w:t xml:space="preserve"> </w:t>
      </w:r>
      <w:r w:rsidRPr="00702ED1">
        <w:rPr>
          <w:rFonts w:eastAsia="Times New Roman" w:cs="Arial"/>
          <w:sz w:val="24"/>
          <w:szCs w:val="24"/>
          <w:lang w:eastAsia="es-ES"/>
        </w:rPr>
        <w:t>debe ser mayor a la tasa pasiva o de captación, con el fin que las entidades financieras puedan cubrir los costos administrativos y dejar una utilidad. La diferencia entre la tasa activa y la pasiva se le conoce con el nombre de margen de intermediación.</w:t>
      </w:r>
    </w:p>
    <w:p w:rsidR="00081D35" w:rsidRDefault="006A5AF0" w:rsidP="007C59B7">
      <w:pPr>
        <w:pStyle w:val="Prrafodelista"/>
        <w:ind w:left="714"/>
        <w:jc w:val="both"/>
        <w:rPr>
          <w:rFonts w:cs="Calibri"/>
          <w:sz w:val="24"/>
          <w:szCs w:val="24"/>
        </w:rPr>
      </w:pPr>
      <w:r>
        <w:rPr>
          <w:noProof/>
          <w:sz w:val="24"/>
          <w:lang w:val="es-ES" w:eastAsia="es-E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4" type="#_x0000_t64" style="position:absolute;left:0;text-align:left;margin-left:183.45pt;margin-top:4.35pt;width:85.5pt;height:7.15pt;z-index:1" fillcolor="#4f81bd" strokecolor="#f2f2f2" strokeweight="3pt">
            <v:shadow on="t" type="perspective" color="#243f60" opacity=".5" offset="1pt" offset2="-1pt"/>
          </v:shape>
        </w:pict>
      </w:r>
    </w:p>
    <w:p w:rsidR="003E0978" w:rsidRDefault="003E0978" w:rsidP="003E0978">
      <w:pPr>
        <w:pStyle w:val="Prrafodelista"/>
        <w:ind w:left="0"/>
        <w:jc w:val="both"/>
        <w:rPr>
          <w:rFonts w:cs="Calibri"/>
          <w:sz w:val="24"/>
          <w:szCs w:val="24"/>
        </w:rPr>
      </w:pPr>
    </w:p>
    <w:p w:rsidR="003E0978" w:rsidRDefault="003E0978" w:rsidP="003E0978">
      <w:pPr>
        <w:pStyle w:val="Prrafodelista"/>
        <w:ind w:left="0"/>
        <w:jc w:val="both"/>
        <w:rPr>
          <w:rFonts w:cs="Calibri"/>
          <w:sz w:val="24"/>
          <w:szCs w:val="24"/>
        </w:rPr>
        <w:sectPr w:rsidR="003E0978" w:rsidSect="00B51669">
          <w:headerReference w:type="default" r:id="rId28"/>
          <w:footerReference w:type="default" r:id="rId29"/>
          <w:pgSz w:w="11906" w:h="16838"/>
          <w:pgMar w:top="1134" w:right="1701" w:bottom="1417" w:left="1701" w:header="708" w:footer="0" w:gutter="0"/>
          <w:cols w:space="708"/>
          <w:titlePg/>
          <w:docGrid w:linePitch="360"/>
        </w:sectPr>
      </w:pPr>
    </w:p>
    <w:p w:rsidR="003E0978" w:rsidRDefault="003E0978" w:rsidP="00130C55">
      <w:pPr>
        <w:spacing w:after="0"/>
        <w:jc w:val="center"/>
        <w:rPr>
          <w:rFonts w:eastAsia="Times New Roman"/>
          <w:b/>
          <w:bCs/>
          <w:color w:val="000000"/>
          <w:lang w:eastAsia="es-ES"/>
        </w:rPr>
      </w:pPr>
      <w:r>
        <w:rPr>
          <w:rFonts w:eastAsia="Times New Roman"/>
          <w:b/>
          <w:bCs/>
          <w:color w:val="000000"/>
          <w:lang w:eastAsia="es-ES"/>
        </w:rPr>
        <w:lastRenderedPageBreak/>
        <w:t>Anexo</w:t>
      </w:r>
    </w:p>
    <w:p w:rsidR="003E0978" w:rsidRDefault="003E0978" w:rsidP="00130C55">
      <w:pPr>
        <w:spacing w:after="0"/>
        <w:jc w:val="center"/>
        <w:rPr>
          <w:rFonts w:eastAsia="Times New Roman"/>
          <w:b/>
          <w:bCs/>
          <w:color w:val="000000"/>
          <w:lang w:eastAsia="es-ES"/>
        </w:rPr>
      </w:pPr>
      <w:r w:rsidRPr="00AD2C25">
        <w:rPr>
          <w:rFonts w:eastAsia="Times New Roman"/>
          <w:b/>
          <w:bCs/>
          <w:color w:val="000000"/>
          <w:lang w:eastAsia="es-ES"/>
        </w:rPr>
        <w:t>Estimación de los Ingresos Multianual 2020-2024, Gobierno Central</w:t>
      </w:r>
    </w:p>
    <w:p w:rsidR="003E0978" w:rsidRDefault="003E0978" w:rsidP="00130C55">
      <w:pPr>
        <w:spacing w:after="0"/>
        <w:jc w:val="center"/>
        <w:rPr>
          <w:lang w:val="es-GT"/>
        </w:rPr>
      </w:pPr>
      <w:r w:rsidRPr="00AD2C25">
        <w:rPr>
          <w:rFonts w:eastAsia="Times New Roman"/>
          <w:b/>
          <w:bCs/>
          <w:color w:val="000000"/>
          <w:lang w:eastAsia="es-ES"/>
        </w:rPr>
        <w:t>(Millones de Q. en términos netos)</w:t>
      </w:r>
    </w:p>
    <w:tbl>
      <w:tblPr>
        <w:tblW w:w="5000" w:type="pct"/>
        <w:tblCellMar>
          <w:left w:w="70" w:type="dxa"/>
          <w:right w:w="70" w:type="dxa"/>
        </w:tblCellMar>
        <w:tblLook w:val="04A0" w:firstRow="1" w:lastRow="0" w:firstColumn="1" w:lastColumn="0" w:noHBand="0" w:noVBand="1"/>
      </w:tblPr>
      <w:tblGrid>
        <w:gridCol w:w="5070"/>
        <w:gridCol w:w="1007"/>
        <w:gridCol w:w="1007"/>
        <w:gridCol w:w="1007"/>
        <w:gridCol w:w="1008"/>
        <w:gridCol w:w="1008"/>
        <w:gridCol w:w="1008"/>
        <w:gridCol w:w="1008"/>
        <w:gridCol w:w="1008"/>
        <w:gridCol w:w="1008"/>
        <w:gridCol w:w="1013"/>
      </w:tblGrid>
      <w:tr w:rsidR="003E0978" w:rsidRPr="00EA2473" w:rsidTr="00130C55">
        <w:trPr>
          <w:trHeight w:val="300"/>
          <w:tblHeader/>
        </w:trPr>
        <w:tc>
          <w:tcPr>
            <w:tcW w:w="1578" w:type="pct"/>
            <w:tcBorders>
              <w:top w:val="single" w:sz="8" w:space="0" w:color="auto"/>
              <w:left w:val="single" w:sz="8" w:space="0" w:color="auto"/>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Descripción</w:t>
            </w:r>
          </w:p>
        </w:tc>
        <w:tc>
          <w:tcPr>
            <w:tcW w:w="365"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2015</w:t>
            </w:r>
          </w:p>
        </w:tc>
        <w:tc>
          <w:tcPr>
            <w:tcW w:w="351"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2016</w:t>
            </w:r>
          </w:p>
        </w:tc>
        <w:tc>
          <w:tcPr>
            <w:tcW w:w="351"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2017</w:t>
            </w:r>
          </w:p>
        </w:tc>
        <w:tc>
          <w:tcPr>
            <w:tcW w:w="351"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2018</w:t>
            </w:r>
          </w:p>
        </w:tc>
        <w:tc>
          <w:tcPr>
            <w:tcW w:w="352"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2019</w:t>
            </w:r>
          </w:p>
        </w:tc>
        <w:tc>
          <w:tcPr>
            <w:tcW w:w="330"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2020</w:t>
            </w:r>
          </w:p>
        </w:tc>
        <w:tc>
          <w:tcPr>
            <w:tcW w:w="330"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2021</w:t>
            </w:r>
          </w:p>
        </w:tc>
        <w:tc>
          <w:tcPr>
            <w:tcW w:w="330"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2022</w:t>
            </w:r>
          </w:p>
        </w:tc>
        <w:tc>
          <w:tcPr>
            <w:tcW w:w="330" w:type="pct"/>
            <w:tcBorders>
              <w:top w:val="single" w:sz="8" w:space="0" w:color="auto"/>
              <w:left w:val="nil"/>
              <w:bottom w:val="single" w:sz="4" w:space="0" w:color="auto"/>
              <w:right w:val="nil"/>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2023</w:t>
            </w:r>
          </w:p>
        </w:tc>
        <w:tc>
          <w:tcPr>
            <w:tcW w:w="332" w:type="pct"/>
            <w:tcBorders>
              <w:top w:val="single" w:sz="8" w:space="0" w:color="auto"/>
              <w:left w:val="nil"/>
              <w:bottom w:val="single" w:sz="4" w:space="0" w:color="auto"/>
              <w:right w:val="single" w:sz="8" w:space="0" w:color="auto"/>
            </w:tcBorders>
            <w:shd w:val="clear" w:color="000000" w:fill="FFE59B"/>
            <w:noWrap/>
            <w:vAlign w:val="bottom"/>
            <w:hideMark/>
          </w:tcPr>
          <w:p w:rsidR="003E0978" w:rsidRPr="00AD2C25" w:rsidRDefault="003E0978" w:rsidP="00593676">
            <w:pPr>
              <w:spacing w:after="0" w:line="240" w:lineRule="auto"/>
              <w:jc w:val="center"/>
              <w:rPr>
                <w:rFonts w:eastAsia="Times New Roman"/>
                <w:b/>
                <w:bCs/>
                <w:color w:val="000000"/>
                <w:lang w:eastAsia="es-ES"/>
              </w:rPr>
            </w:pPr>
            <w:r w:rsidRPr="00AD2C25">
              <w:rPr>
                <w:rFonts w:eastAsia="Times New Roman"/>
                <w:b/>
                <w:bCs/>
                <w:color w:val="000000"/>
                <w:lang w:eastAsia="es-ES"/>
              </w:rPr>
              <w:t>2024</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r w:rsidRPr="00AD2C25">
              <w:rPr>
                <w:rFonts w:eastAsia="Times New Roman"/>
                <w:b/>
                <w:bCs/>
                <w:color w:val="000000"/>
                <w:lang w:eastAsia="es-ES"/>
              </w:rPr>
              <w:t>Recaudación tributaria / SAT</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49,244.6</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53,680.8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56,177.0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58,200.7</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60,946.7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66,335.6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72,554.7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79,409.3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86,969.6</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95,322.5</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r w:rsidRPr="00AD2C25">
              <w:rPr>
                <w:rFonts w:eastAsia="Times New Roman"/>
                <w:b/>
                <w:bCs/>
                <w:color w:val="000000"/>
                <w:lang w:eastAsia="es-ES"/>
              </w:rPr>
              <w:t>Impuesto al comercio exterior</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14,736.5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14,629.3</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15,670.8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17,044.9</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17,855.8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19,013.9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20,512.1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21,962.8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23,636.6</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25,391.0</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Al valor agregado importaciones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12,579.3</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12,306.5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13,216.0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14,469.1</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15,262.7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16,252.7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17,556.6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18,799.8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20,252.2</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21,769.7</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D</w:t>
            </w:r>
            <w:r w:rsidRPr="00EA2473">
              <w:rPr>
                <w:rFonts w:eastAsia="Times New Roman"/>
                <w:color w:val="000000"/>
                <w:lang w:eastAsia="es-ES"/>
              </w:rPr>
              <w:t>e</w:t>
            </w:r>
            <w:r w:rsidRPr="00AD2C25">
              <w:rPr>
                <w:rFonts w:eastAsia="Times New Roman"/>
                <w:color w:val="000000"/>
                <w:lang w:eastAsia="es-ES"/>
              </w:rPr>
              <w:t>rechos arancelarios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2,157.2</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2,322.8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2,454.8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2,575.8</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2,593.1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2,761.2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2,955.5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3,163.0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3,384.4</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3,621.3</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r w:rsidRPr="00AD2C25">
              <w:rPr>
                <w:rFonts w:eastAsia="Times New Roman"/>
                <w:b/>
                <w:bCs/>
                <w:color w:val="000000"/>
                <w:lang w:eastAsia="es-ES"/>
              </w:rPr>
              <w:t>Impuestos internos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34,508.1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39,051.5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40,506.2</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41,155.8</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43,090.9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45,821.7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50,342.6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54,346.5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59,083.0</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64,181.5</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la Renta</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13,627.3</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16,499.1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16,306.9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16,236.3</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16,992.7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18,187.3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20,135.4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21,640.8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23,785.9</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25,966.0</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xml:space="preserve">De Solidaridad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3,907.1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4,072.6</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4,386.4</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4,656.3</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4,879.9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5,168.6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5,560.6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5,908.3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6,346.3</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6,801.5</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Patrimonio</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21.2</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23.8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30.2</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28.1</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32.2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34.4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39.6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42.5</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45.7</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Al Valor Agregado Doméstico</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10,692.0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11,908.8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12,970.7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13,263.4</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13,830.6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14,802.8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16,684.8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18,516.4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20,328.9</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22,427.5</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Distribución de Bebidas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709.5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744.8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759.5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790.3</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831.6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856.3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882.5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910.2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939.9</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971.4</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el Tabaco y sus Productos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368.7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364.7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347.9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337.1</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352.3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362.8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373.9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385.7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398.3</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411.7</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Distribución de Petróleo y sus Derivados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2,898.9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3,195.3</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3,296.4</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3,417.4</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3,597.7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3,704.5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3,817.6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3,938.0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4,066.1</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4,202.5</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Distribución de Cemento</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311.6</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117.1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114.0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123.3</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133.3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137.3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141.5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145.9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150.7</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155.7</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Timbres Fiscales y Papel Sellado</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336.5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370.0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507.9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463.0</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473.0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506.4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542.7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582.3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625.2</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672.1</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Sobre Circulación de Vehículos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717.1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782.4</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826.0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881.2</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957.4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985.9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1,016.0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1,048.0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1,082.1</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1,118.4</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Específico a la Primera Matrícula de Vehículos Terrestres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913.8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967.2</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952.8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952.7</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1,003.0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1,068.1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1,143.2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1,223.5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1,309.1</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1,400.7</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Otros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4.4</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6.7</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8.0</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8.3</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r w:rsidRPr="00AD2C25">
              <w:rPr>
                <w:rFonts w:eastAsia="Times New Roman"/>
                <w:b/>
                <w:bCs/>
                <w:color w:val="000000"/>
                <w:lang w:eastAsia="es-ES"/>
              </w:rPr>
              <w:t>Otros Indirectos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1,500.0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1,700.0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3,100.0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4,250.0</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5,750.0</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r w:rsidRPr="00AD2C25">
              <w:rPr>
                <w:rFonts w:eastAsia="Times New Roman"/>
                <w:b/>
                <w:bCs/>
                <w:color w:val="000000"/>
                <w:lang w:eastAsia="es-ES"/>
              </w:rPr>
              <w:t>Otras Instituciones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486.1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428.6</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507.1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634.8</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641.4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673.4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708.0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745.4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785.9</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829.7</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lastRenderedPageBreak/>
              <w:t>Regalías e Hidrocarburos Compartibles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223.6</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148.9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206.8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322.8</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322.8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332.4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342.5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353.3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364.9</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377.1</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Salida del País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262.5</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279.7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300.3</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312.0</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318.6</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341.0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365.5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392.1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421.0</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452.6</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proofErr w:type="gramStart"/>
            <w:r w:rsidRPr="00AD2C25">
              <w:rPr>
                <w:rFonts w:eastAsia="Times New Roman"/>
                <w:b/>
                <w:bCs/>
                <w:color w:val="000000"/>
                <w:lang w:eastAsia="es-ES"/>
              </w:rPr>
              <w:t>Total</w:t>
            </w:r>
            <w:proofErr w:type="gramEnd"/>
            <w:r w:rsidRPr="00AD2C25">
              <w:rPr>
                <w:rFonts w:eastAsia="Times New Roman"/>
                <w:b/>
                <w:bCs/>
                <w:color w:val="000000"/>
                <w:lang w:eastAsia="es-ES"/>
              </w:rPr>
              <w:t xml:space="preserve"> de Ingresos Netos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49,730.7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54,109.4</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56,684.1</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58,835.5</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61,588.1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67,009.0</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73,262.7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80,154.7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87,755.5</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u w:val="single"/>
                <w:lang w:eastAsia="es-ES"/>
              </w:rPr>
            </w:pPr>
            <w:r w:rsidRPr="00AD2C25">
              <w:rPr>
                <w:rFonts w:eastAsia="Times New Roman"/>
                <w:color w:val="000000"/>
                <w:u w:val="single"/>
                <w:lang w:eastAsia="es-ES"/>
              </w:rPr>
              <w:t>96,152.2</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Devolución de Crédito Fiscal</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1,893.4</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1,991.8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1,850.9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2,038.1</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2,527.5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2,700.5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2,977.5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3,244.9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3,528.8</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3,843.2</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Autocompensación</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487.8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462.8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490.7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362.5</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343.8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364.4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388.1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415.2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444.1</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475.2</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b/>
                <w:bCs/>
                <w:color w:val="000000"/>
                <w:lang w:eastAsia="es-ES"/>
              </w:rPr>
            </w:pPr>
            <w:proofErr w:type="gramStart"/>
            <w:r w:rsidRPr="00AD2C25">
              <w:rPr>
                <w:rFonts w:eastAsia="Times New Roman"/>
                <w:b/>
                <w:bCs/>
                <w:color w:val="000000"/>
                <w:lang w:eastAsia="es-ES"/>
              </w:rPr>
              <w:t>Total</w:t>
            </w:r>
            <w:proofErr w:type="gramEnd"/>
            <w:r w:rsidRPr="00AD2C25">
              <w:rPr>
                <w:rFonts w:eastAsia="Times New Roman"/>
                <w:b/>
                <w:bCs/>
                <w:color w:val="000000"/>
                <w:lang w:eastAsia="es-ES"/>
              </w:rPr>
              <w:t xml:space="preserve"> de Ingresos Brutos</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52,111.9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56,564.0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59,025.7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61,236.1</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64,459.4</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70,073.9</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76,628.3</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83,814.8</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91,728.4</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b/>
                <w:bCs/>
                <w:color w:val="000000"/>
                <w:u w:val="single"/>
                <w:lang w:eastAsia="es-ES"/>
              </w:rPr>
            </w:pPr>
            <w:r w:rsidRPr="00AD2C25">
              <w:rPr>
                <w:rFonts w:eastAsia="Times New Roman"/>
                <w:b/>
                <w:bCs/>
                <w:color w:val="000000"/>
                <w:u w:val="single"/>
                <w:lang w:eastAsia="es-ES"/>
              </w:rPr>
              <w:t>100,470.6</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PIB Nominal</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488,128.2</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521,836.9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555,648.8</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589,959.8</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631,935.1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678,985.7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731,240.1</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788,277.2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850,551.2</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918,595.5</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 </w:t>
            </w:r>
          </w:p>
        </w:tc>
      </w:tr>
      <w:tr w:rsidR="003E0978" w:rsidRPr="00EA2473" w:rsidTr="00130C55">
        <w:trPr>
          <w:trHeight w:val="300"/>
        </w:trPr>
        <w:tc>
          <w:tcPr>
            <w:tcW w:w="1578" w:type="pct"/>
            <w:tcBorders>
              <w:top w:val="nil"/>
              <w:left w:val="single" w:sz="8" w:space="0" w:color="auto"/>
              <w:bottom w:val="nil"/>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Carga Tributaria Neta (estimación activa)</w:t>
            </w:r>
          </w:p>
        </w:tc>
        <w:tc>
          <w:tcPr>
            <w:tcW w:w="365"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10.19%</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10.37%</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10.20%</w:t>
            </w:r>
          </w:p>
        </w:tc>
        <w:tc>
          <w:tcPr>
            <w:tcW w:w="351"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9.97%</w:t>
            </w:r>
          </w:p>
        </w:tc>
        <w:tc>
          <w:tcPr>
            <w:tcW w:w="352"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9.75%</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9.87%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10.02%</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10.17%</w:t>
            </w:r>
          </w:p>
        </w:tc>
        <w:tc>
          <w:tcPr>
            <w:tcW w:w="330" w:type="pct"/>
            <w:tcBorders>
              <w:top w:val="nil"/>
              <w:left w:val="nil"/>
              <w:bottom w:val="nil"/>
              <w:right w:val="nil"/>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10.32%</w:t>
            </w:r>
          </w:p>
        </w:tc>
        <w:tc>
          <w:tcPr>
            <w:tcW w:w="332" w:type="pct"/>
            <w:tcBorders>
              <w:top w:val="nil"/>
              <w:left w:val="nil"/>
              <w:bottom w:val="nil"/>
              <w:right w:val="single" w:sz="8" w:space="0" w:color="auto"/>
            </w:tcBorders>
            <w:shd w:val="clear" w:color="auto" w:fill="auto"/>
            <w:noWrap/>
            <w:vAlign w:val="bottom"/>
            <w:hideMark/>
          </w:tcPr>
          <w:p w:rsidR="003E0978" w:rsidRPr="00AD2C25" w:rsidRDefault="003E0978" w:rsidP="00593676">
            <w:pPr>
              <w:spacing w:after="0" w:line="240" w:lineRule="auto"/>
              <w:jc w:val="right"/>
              <w:rPr>
                <w:rFonts w:eastAsia="Times New Roman"/>
                <w:color w:val="000000"/>
                <w:lang w:eastAsia="es-ES"/>
              </w:rPr>
            </w:pPr>
            <w:r w:rsidRPr="00AD2C25">
              <w:rPr>
                <w:rFonts w:eastAsia="Times New Roman"/>
                <w:color w:val="000000"/>
                <w:lang w:eastAsia="es-ES"/>
              </w:rPr>
              <w:t>10.47%</w:t>
            </w:r>
          </w:p>
        </w:tc>
      </w:tr>
      <w:tr w:rsidR="003E0978" w:rsidRPr="00EA2473" w:rsidTr="00130C55">
        <w:trPr>
          <w:trHeight w:val="315"/>
        </w:trPr>
        <w:tc>
          <w:tcPr>
            <w:tcW w:w="1578" w:type="pct"/>
            <w:tcBorders>
              <w:top w:val="nil"/>
              <w:left w:val="single" w:sz="8" w:space="0" w:color="auto"/>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65"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51"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51"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51"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52"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30"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30"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30"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30" w:type="pct"/>
            <w:tcBorders>
              <w:top w:val="nil"/>
              <w:left w:val="nil"/>
              <w:bottom w:val="single" w:sz="8" w:space="0" w:color="auto"/>
              <w:right w:val="nil"/>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c>
          <w:tcPr>
            <w:tcW w:w="332" w:type="pct"/>
            <w:tcBorders>
              <w:top w:val="nil"/>
              <w:left w:val="nil"/>
              <w:bottom w:val="single" w:sz="8" w:space="0" w:color="auto"/>
              <w:right w:val="single" w:sz="8" w:space="0" w:color="auto"/>
            </w:tcBorders>
            <w:shd w:val="clear" w:color="auto" w:fill="auto"/>
            <w:noWrap/>
            <w:vAlign w:val="bottom"/>
            <w:hideMark/>
          </w:tcPr>
          <w:p w:rsidR="003E0978" w:rsidRPr="00AD2C25" w:rsidRDefault="003E0978" w:rsidP="00593676">
            <w:pPr>
              <w:spacing w:after="0" w:line="240" w:lineRule="auto"/>
              <w:rPr>
                <w:rFonts w:eastAsia="Times New Roman"/>
                <w:color w:val="000000"/>
                <w:lang w:eastAsia="es-ES"/>
              </w:rPr>
            </w:pPr>
            <w:r w:rsidRPr="00AD2C25">
              <w:rPr>
                <w:rFonts w:eastAsia="Times New Roman"/>
                <w:color w:val="000000"/>
                <w:lang w:eastAsia="es-ES"/>
              </w:rPr>
              <w:t> </w:t>
            </w:r>
          </w:p>
        </w:tc>
      </w:tr>
    </w:tbl>
    <w:p w:rsidR="003E0978" w:rsidRDefault="003E0978" w:rsidP="003E0978">
      <w:pPr>
        <w:spacing w:after="0"/>
        <w:rPr>
          <w:rFonts w:eastAsia="Times New Roman" w:cs="Arial"/>
          <w:lang w:eastAsia="es-ES"/>
        </w:rPr>
      </w:pPr>
      <w:r w:rsidRPr="00AD2C25">
        <w:rPr>
          <w:rFonts w:eastAsia="Times New Roman" w:cs="Arial"/>
          <w:b/>
          <w:bCs/>
          <w:lang w:eastAsia="es-ES"/>
        </w:rPr>
        <w:t xml:space="preserve">Nota: </w:t>
      </w:r>
      <w:r w:rsidRPr="00AD2C25">
        <w:rPr>
          <w:rFonts w:eastAsia="Times New Roman" w:cs="Arial"/>
          <w:lang w:eastAsia="es-ES"/>
        </w:rPr>
        <w:t xml:space="preserve">se considera un tipo de cambio neutro, la legislación tributaria permanecerá vigente en el período analizado, el proceso electoral </w:t>
      </w:r>
      <w:proofErr w:type="gramStart"/>
      <w:r w:rsidRPr="00AD2C25">
        <w:rPr>
          <w:rFonts w:eastAsia="Times New Roman" w:cs="Arial"/>
          <w:lang w:eastAsia="es-ES"/>
        </w:rPr>
        <w:t>2019  transcurrirá</w:t>
      </w:r>
      <w:proofErr w:type="gramEnd"/>
      <w:r w:rsidRPr="00AD2C25">
        <w:rPr>
          <w:rFonts w:eastAsia="Times New Roman" w:cs="Arial"/>
          <w:lang w:eastAsia="es-ES"/>
        </w:rPr>
        <w:t xml:space="preserve"> de manera normal, se cumple el escenario macroeconómico, se realiza la provisión del 8% del IVA recaudado.</w:t>
      </w:r>
    </w:p>
    <w:p w:rsidR="003E0978" w:rsidRPr="003E0978" w:rsidRDefault="003E0978" w:rsidP="003E1660">
      <w:pPr>
        <w:spacing w:after="0"/>
        <w:rPr>
          <w:rFonts w:cs="Calibri"/>
          <w:sz w:val="24"/>
          <w:szCs w:val="24"/>
        </w:rPr>
      </w:pPr>
      <w:r w:rsidRPr="00AD2C25">
        <w:rPr>
          <w:rFonts w:eastAsia="Times New Roman" w:cs="Arial"/>
          <w:lang w:eastAsia="es-ES"/>
        </w:rPr>
        <w:t>Pueden existir diferencias por redondeo</w:t>
      </w:r>
      <w:r>
        <w:rPr>
          <w:rFonts w:eastAsia="Times New Roman" w:cs="Arial"/>
          <w:lang w:eastAsia="es-ES"/>
        </w:rPr>
        <w:t>.</w:t>
      </w:r>
    </w:p>
    <w:sectPr w:rsidR="003E0978" w:rsidRPr="003E0978" w:rsidSect="003E0978">
      <w:pgSz w:w="16838" w:h="11906" w:orient="landscape"/>
      <w:pgMar w:top="1701" w:right="409" w:bottom="1701"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09F" w:rsidRDefault="00C7109F" w:rsidP="00685318">
      <w:pPr>
        <w:spacing w:after="0" w:line="240" w:lineRule="auto"/>
      </w:pPr>
      <w:r>
        <w:separator/>
      </w:r>
    </w:p>
  </w:endnote>
  <w:endnote w:type="continuationSeparator" w:id="0">
    <w:p w:rsidR="00C7109F" w:rsidRDefault="00C7109F" w:rsidP="00685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D23" w:rsidRPr="00EA0ADF" w:rsidRDefault="00091D23" w:rsidP="00EA0ADF">
    <w:pPr>
      <w:pStyle w:val="Piedepgina"/>
      <w:pBdr>
        <w:top w:val="thinThickSmallGap" w:sz="24" w:space="1" w:color="622423"/>
      </w:pBdr>
      <w:jc w:val="center"/>
      <w:rPr>
        <w:sz w:val="24"/>
        <w:szCs w:val="24"/>
      </w:rPr>
    </w:pPr>
    <w:r w:rsidRPr="00EA0ADF">
      <w:rPr>
        <w:sz w:val="24"/>
        <w:szCs w:val="24"/>
      </w:rPr>
      <w:t>Ministerio de Finanzas Públicas</w:t>
    </w:r>
  </w:p>
  <w:p w:rsidR="00091D23" w:rsidRDefault="00091D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09F" w:rsidRDefault="00C7109F" w:rsidP="00685318">
      <w:pPr>
        <w:spacing w:after="0" w:line="240" w:lineRule="auto"/>
      </w:pPr>
      <w:r>
        <w:separator/>
      </w:r>
    </w:p>
  </w:footnote>
  <w:footnote w:type="continuationSeparator" w:id="0">
    <w:p w:rsidR="00C7109F" w:rsidRDefault="00C7109F" w:rsidP="00685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D23" w:rsidRPr="0028624D" w:rsidRDefault="00EF17D6" w:rsidP="00B7736C">
    <w:pPr>
      <w:pStyle w:val="Encabezado"/>
      <w:pBdr>
        <w:bottom w:val="thickThinSmallGap" w:sz="24" w:space="1" w:color="622423"/>
      </w:pBdr>
      <w:tabs>
        <w:tab w:val="clear" w:pos="4252"/>
        <w:tab w:val="center" w:pos="142"/>
        <w:tab w:val="right" w:pos="14742"/>
      </w:tabs>
      <w:rPr>
        <w:rFonts w:eastAsia="Times New Roman"/>
        <w:sz w:val="24"/>
        <w:szCs w:val="24"/>
        <w:lang w:val="es-GT"/>
      </w:rPr>
    </w:pPr>
    <w:r w:rsidRPr="008073F8">
      <w:rPr>
        <w:b/>
        <w:noProof/>
        <w:sz w:val="48"/>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0pt;height:56.4pt;visibility:visible">
          <v:imagedata r:id="rId1" o:title="Imagen 2018" croptop="6231f" cropbottom="10846f"/>
        </v:shape>
      </w:pict>
    </w:r>
    <w:r w:rsidR="00091D23" w:rsidRPr="00D82F46">
      <w:rPr>
        <w:rFonts w:eastAsia="Times New Roman"/>
        <w:noProof/>
        <w:sz w:val="24"/>
        <w:szCs w:val="24"/>
        <w:lang w:eastAsia="zh-TW"/>
      </w:rPr>
      <w:pict>
        <v:rect id="_x0000_s2050" style="position:absolute;margin-left:525.35pt;margin-top:599.15pt;width:54.85pt;height:171.9pt;z-index:1;mso-position-horizontal-relative:page;mso-position-vertical-relative:page;v-text-anchor:middle" o:allowincell="f" filled="f" stroked="f">
          <v:textbox style="layout-flow:vertical;mso-layout-flow-alt:bottom-to-top;mso-next-textbox:#_x0000_s2050;mso-fit-shape-to-text:t">
            <w:txbxContent>
              <w:p w:rsidR="00091D23" w:rsidRPr="00D82F46" w:rsidRDefault="00091D23">
                <w:pPr>
                  <w:pStyle w:val="Piedepgina"/>
                  <w:rPr>
                    <w:rFonts w:ascii="Cambria" w:hAnsi="Cambria"/>
                    <w:sz w:val="44"/>
                    <w:szCs w:val="44"/>
                  </w:rPr>
                </w:pPr>
                <w:r w:rsidRPr="00D82F46">
                  <w:rPr>
                    <w:rFonts w:ascii="Cambria" w:hAnsi="Cambria"/>
                  </w:rPr>
                  <w:t>Página</w:t>
                </w:r>
                <w:r>
                  <w:fldChar w:fldCharType="begin"/>
                </w:r>
                <w:r>
                  <w:instrText xml:space="preserve"> PAGE    \* MERGEFORMAT </w:instrText>
                </w:r>
                <w:r>
                  <w:fldChar w:fldCharType="separate"/>
                </w:r>
                <w:r w:rsidR="000F1075" w:rsidRPr="000F1075">
                  <w:rPr>
                    <w:rFonts w:ascii="Cambria" w:hAnsi="Cambria"/>
                    <w:noProof/>
                    <w:sz w:val="44"/>
                    <w:szCs w:val="44"/>
                  </w:rPr>
                  <w:t>4</w:t>
                </w:r>
                <w:r>
                  <w:fldChar w:fldCharType="end"/>
                </w:r>
              </w:p>
            </w:txbxContent>
          </v:textbox>
          <w10:wrap anchorx="page" anchory="margin"/>
        </v:rect>
      </w:pict>
    </w:r>
    <w:r w:rsidR="00FA581C">
      <w:rPr>
        <w:b/>
        <w:noProof/>
        <w:sz w:val="48"/>
        <w:lang w:val="es-GT" w:eastAsia="es-ES"/>
      </w:rPr>
      <w:t xml:space="preserve">                           </w:t>
    </w:r>
    <w:r w:rsidR="00AA008E">
      <w:rPr>
        <w:b/>
        <w:noProof/>
        <w:sz w:val="48"/>
        <w:lang w:val="es-GT" w:eastAsia="es-ES"/>
      </w:rPr>
      <w:t xml:space="preserve">    </w:t>
    </w:r>
    <w:r w:rsidR="00FA581C">
      <w:rPr>
        <w:b/>
        <w:noProof/>
        <w:sz w:val="48"/>
        <w:lang w:val="es-GT" w:eastAsia="es-ES"/>
      </w:rPr>
      <w:t xml:space="preserve">   </w:t>
    </w:r>
    <w:r w:rsidR="0028624D">
      <w:rPr>
        <w:rFonts w:eastAsia="Times New Roman"/>
        <w:sz w:val="24"/>
        <w:szCs w:val="24"/>
      </w:rPr>
      <w:t>Informe Preliminar 20</w:t>
    </w:r>
    <w:r w:rsidR="0028624D">
      <w:rPr>
        <w:rFonts w:eastAsia="Times New Roman"/>
        <w:sz w:val="24"/>
        <w:szCs w:val="24"/>
        <w:lang w:val="es-GT"/>
      </w:rPr>
      <w:t>20</w:t>
    </w:r>
    <w:r w:rsidR="00091D23">
      <w:rPr>
        <w:rFonts w:eastAsia="Times New Roman"/>
        <w:sz w:val="24"/>
        <w:szCs w:val="24"/>
      </w:rPr>
      <w:t>-202</w:t>
    </w:r>
    <w:r w:rsidR="0028624D">
      <w:rPr>
        <w:rFonts w:eastAsia="Times New Roman"/>
        <w:sz w:val="24"/>
        <w:szCs w:val="24"/>
        <w:lang w:val="es-GT"/>
      </w:rPr>
      <w:t>4</w:t>
    </w:r>
    <w:r w:rsidR="00B7736C">
      <w:rPr>
        <w:rFonts w:eastAsia="Times New Roman"/>
        <w:sz w:val="24"/>
        <w:szCs w:val="24"/>
        <w:lang w:val="es-GT"/>
      </w:rPr>
      <w:tab/>
    </w:r>
    <w:r w:rsidR="00B7736C">
      <w:rPr>
        <w:rFonts w:eastAsia="Times New Roman"/>
        <w:sz w:val="24"/>
        <w:szCs w:val="24"/>
        <w:lang w:val="es-G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0297_"/>
      </v:shape>
    </w:pict>
  </w:numPicBullet>
  <w:abstractNum w:abstractNumId="0" w15:restartNumberingAfterBreak="0">
    <w:nsid w:val="058B5608"/>
    <w:multiLevelType w:val="hybridMultilevel"/>
    <w:tmpl w:val="5FB890D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0D396386"/>
    <w:multiLevelType w:val="hybridMultilevel"/>
    <w:tmpl w:val="9244B1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8C7DF7"/>
    <w:multiLevelType w:val="multilevel"/>
    <w:tmpl w:val="BBB0FD9C"/>
    <w:lvl w:ilvl="0">
      <w:start w:val="1"/>
      <w:numFmt w:val="decimal"/>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9091DE1"/>
    <w:multiLevelType w:val="hybridMultilevel"/>
    <w:tmpl w:val="07B4CF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D544534"/>
    <w:multiLevelType w:val="hybridMultilevel"/>
    <w:tmpl w:val="26B69C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1BF5B63"/>
    <w:multiLevelType w:val="hybridMultilevel"/>
    <w:tmpl w:val="785C0676"/>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1E5027B"/>
    <w:multiLevelType w:val="hybridMultilevel"/>
    <w:tmpl w:val="C8EA6A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1619BF"/>
    <w:multiLevelType w:val="hybridMultilevel"/>
    <w:tmpl w:val="C4128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FC55AC"/>
    <w:multiLevelType w:val="hybridMultilevel"/>
    <w:tmpl w:val="8C18E7FE"/>
    <w:lvl w:ilvl="0" w:tplc="B29A69FE">
      <w:start w:val="1"/>
      <w:numFmt w:val="bullet"/>
      <w:lvlText w:val="•"/>
      <w:lvlJc w:val="left"/>
      <w:pPr>
        <w:tabs>
          <w:tab w:val="num" w:pos="720"/>
        </w:tabs>
        <w:ind w:left="720" w:hanging="360"/>
      </w:pPr>
      <w:rPr>
        <w:rFonts w:ascii="Arial" w:hAnsi="Arial" w:hint="default"/>
      </w:rPr>
    </w:lvl>
    <w:lvl w:ilvl="1" w:tplc="A68CC656" w:tentative="1">
      <w:start w:val="1"/>
      <w:numFmt w:val="bullet"/>
      <w:lvlText w:val="•"/>
      <w:lvlJc w:val="left"/>
      <w:pPr>
        <w:tabs>
          <w:tab w:val="num" w:pos="1440"/>
        </w:tabs>
        <w:ind w:left="1440" w:hanging="360"/>
      </w:pPr>
      <w:rPr>
        <w:rFonts w:ascii="Arial" w:hAnsi="Arial" w:hint="default"/>
      </w:rPr>
    </w:lvl>
    <w:lvl w:ilvl="2" w:tplc="4FBC6544" w:tentative="1">
      <w:start w:val="1"/>
      <w:numFmt w:val="bullet"/>
      <w:lvlText w:val="•"/>
      <w:lvlJc w:val="left"/>
      <w:pPr>
        <w:tabs>
          <w:tab w:val="num" w:pos="2160"/>
        </w:tabs>
        <w:ind w:left="2160" w:hanging="360"/>
      </w:pPr>
      <w:rPr>
        <w:rFonts w:ascii="Arial" w:hAnsi="Arial" w:hint="default"/>
      </w:rPr>
    </w:lvl>
    <w:lvl w:ilvl="3" w:tplc="6D9C95FE" w:tentative="1">
      <w:start w:val="1"/>
      <w:numFmt w:val="bullet"/>
      <w:lvlText w:val="•"/>
      <w:lvlJc w:val="left"/>
      <w:pPr>
        <w:tabs>
          <w:tab w:val="num" w:pos="2880"/>
        </w:tabs>
        <w:ind w:left="2880" w:hanging="360"/>
      </w:pPr>
      <w:rPr>
        <w:rFonts w:ascii="Arial" w:hAnsi="Arial" w:hint="default"/>
      </w:rPr>
    </w:lvl>
    <w:lvl w:ilvl="4" w:tplc="A72E3940" w:tentative="1">
      <w:start w:val="1"/>
      <w:numFmt w:val="bullet"/>
      <w:lvlText w:val="•"/>
      <w:lvlJc w:val="left"/>
      <w:pPr>
        <w:tabs>
          <w:tab w:val="num" w:pos="3600"/>
        </w:tabs>
        <w:ind w:left="3600" w:hanging="360"/>
      </w:pPr>
      <w:rPr>
        <w:rFonts w:ascii="Arial" w:hAnsi="Arial" w:hint="default"/>
      </w:rPr>
    </w:lvl>
    <w:lvl w:ilvl="5" w:tplc="B712B990" w:tentative="1">
      <w:start w:val="1"/>
      <w:numFmt w:val="bullet"/>
      <w:lvlText w:val="•"/>
      <w:lvlJc w:val="left"/>
      <w:pPr>
        <w:tabs>
          <w:tab w:val="num" w:pos="4320"/>
        </w:tabs>
        <w:ind w:left="4320" w:hanging="360"/>
      </w:pPr>
      <w:rPr>
        <w:rFonts w:ascii="Arial" w:hAnsi="Arial" w:hint="default"/>
      </w:rPr>
    </w:lvl>
    <w:lvl w:ilvl="6" w:tplc="6244321A" w:tentative="1">
      <w:start w:val="1"/>
      <w:numFmt w:val="bullet"/>
      <w:lvlText w:val="•"/>
      <w:lvlJc w:val="left"/>
      <w:pPr>
        <w:tabs>
          <w:tab w:val="num" w:pos="5040"/>
        </w:tabs>
        <w:ind w:left="5040" w:hanging="360"/>
      </w:pPr>
      <w:rPr>
        <w:rFonts w:ascii="Arial" w:hAnsi="Arial" w:hint="default"/>
      </w:rPr>
    </w:lvl>
    <w:lvl w:ilvl="7" w:tplc="8788D062" w:tentative="1">
      <w:start w:val="1"/>
      <w:numFmt w:val="bullet"/>
      <w:lvlText w:val="•"/>
      <w:lvlJc w:val="left"/>
      <w:pPr>
        <w:tabs>
          <w:tab w:val="num" w:pos="5760"/>
        </w:tabs>
        <w:ind w:left="5760" w:hanging="360"/>
      </w:pPr>
      <w:rPr>
        <w:rFonts w:ascii="Arial" w:hAnsi="Arial" w:hint="default"/>
      </w:rPr>
    </w:lvl>
    <w:lvl w:ilvl="8" w:tplc="BE88F8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0351CD"/>
    <w:multiLevelType w:val="hybridMultilevel"/>
    <w:tmpl w:val="C604440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55F903AB"/>
    <w:multiLevelType w:val="multilevel"/>
    <w:tmpl w:val="BF26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CD1C32"/>
    <w:multiLevelType w:val="hybridMultilevel"/>
    <w:tmpl w:val="D25CA250"/>
    <w:lvl w:ilvl="0" w:tplc="9C7498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9170241"/>
    <w:multiLevelType w:val="hybridMultilevel"/>
    <w:tmpl w:val="80F6BA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596B3040"/>
    <w:multiLevelType w:val="hybridMultilevel"/>
    <w:tmpl w:val="6FC8A5A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5E1B6B2D"/>
    <w:multiLevelType w:val="hybridMultilevel"/>
    <w:tmpl w:val="DF1A95F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1392190"/>
    <w:multiLevelType w:val="hybridMultilevel"/>
    <w:tmpl w:val="965CF1F4"/>
    <w:lvl w:ilvl="0" w:tplc="100A0001">
      <w:start w:val="1"/>
      <w:numFmt w:val="bullet"/>
      <w:lvlText w:val=""/>
      <w:lvlJc w:val="left"/>
      <w:pPr>
        <w:ind w:left="1068" w:hanging="360"/>
      </w:pPr>
      <w:rPr>
        <w:rFonts w:ascii="Symbol" w:hAnsi="Symbol"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6" w15:restartNumberingAfterBreak="0">
    <w:nsid w:val="706E7C6D"/>
    <w:multiLevelType w:val="hybridMultilevel"/>
    <w:tmpl w:val="6038DD3E"/>
    <w:lvl w:ilvl="0" w:tplc="9C7498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19D6792"/>
    <w:multiLevelType w:val="hybridMultilevel"/>
    <w:tmpl w:val="2A3EE14C"/>
    <w:lvl w:ilvl="0" w:tplc="A6CC83CE">
      <w:start w:val="1"/>
      <w:numFmt w:val="bullet"/>
      <w:lvlText w:val="•"/>
      <w:lvlJc w:val="left"/>
      <w:pPr>
        <w:tabs>
          <w:tab w:val="num" w:pos="720"/>
        </w:tabs>
        <w:ind w:left="720" w:hanging="360"/>
      </w:pPr>
      <w:rPr>
        <w:rFonts w:ascii="Arial" w:hAnsi="Arial" w:hint="default"/>
      </w:rPr>
    </w:lvl>
    <w:lvl w:ilvl="1" w:tplc="F65484EA" w:tentative="1">
      <w:start w:val="1"/>
      <w:numFmt w:val="bullet"/>
      <w:lvlText w:val="•"/>
      <w:lvlJc w:val="left"/>
      <w:pPr>
        <w:tabs>
          <w:tab w:val="num" w:pos="1440"/>
        </w:tabs>
        <w:ind w:left="1440" w:hanging="360"/>
      </w:pPr>
      <w:rPr>
        <w:rFonts w:ascii="Arial" w:hAnsi="Arial" w:hint="default"/>
      </w:rPr>
    </w:lvl>
    <w:lvl w:ilvl="2" w:tplc="76E215D8" w:tentative="1">
      <w:start w:val="1"/>
      <w:numFmt w:val="bullet"/>
      <w:lvlText w:val="•"/>
      <w:lvlJc w:val="left"/>
      <w:pPr>
        <w:tabs>
          <w:tab w:val="num" w:pos="2160"/>
        </w:tabs>
        <w:ind w:left="2160" w:hanging="360"/>
      </w:pPr>
      <w:rPr>
        <w:rFonts w:ascii="Arial" w:hAnsi="Arial" w:hint="default"/>
      </w:rPr>
    </w:lvl>
    <w:lvl w:ilvl="3" w:tplc="800CE7DC" w:tentative="1">
      <w:start w:val="1"/>
      <w:numFmt w:val="bullet"/>
      <w:lvlText w:val="•"/>
      <w:lvlJc w:val="left"/>
      <w:pPr>
        <w:tabs>
          <w:tab w:val="num" w:pos="2880"/>
        </w:tabs>
        <w:ind w:left="2880" w:hanging="360"/>
      </w:pPr>
      <w:rPr>
        <w:rFonts w:ascii="Arial" w:hAnsi="Arial" w:hint="default"/>
      </w:rPr>
    </w:lvl>
    <w:lvl w:ilvl="4" w:tplc="5F7C7166" w:tentative="1">
      <w:start w:val="1"/>
      <w:numFmt w:val="bullet"/>
      <w:lvlText w:val="•"/>
      <w:lvlJc w:val="left"/>
      <w:pPr>
        <w:tabs>
          <w:tab w:val="num" w:pos="3600"/>
        </w:tabs>
        <w:ind w:left="3600" w:hanging="360"/>
      </w:pPr>
      <w:rPr>
        <w:rFonts w:ascii="Arial" w:hAnsi="Arial" w:hint="default"/>
      </w:rPr>
    </w:lvl>
    <w:lvl w:ilvl="5" w:tplc="F14A4526" w:tentative="1">
      <w:start w:val="1"/>
      <w:numFmt w:val="bullet"/>
      <w:lvlText w:val="•"/>
      <w:lvlJc w:val="left"/>
      <w:pPr>
        <w:tabs>
          <w:tab w:val="num" w:pos="4320"/>
        </w:tabs>
        <w:ind w:left="4320" w:hanging="360"/>
      </w:pPr>
      <w:rPr>
        <w:rFonts w:ascii="Arial" w:hAnsi="Arial" w:hint="default"/>
      </w:rPr>
    </w:lvl>
    <w:lvl w:ilvl="6" w:tplc="24762B42" w:tentative="1">
      <w:start w:val="1"/>
      <w:numFmt w:val="bullet"/>
      <w:lvlText w:val="•"/>
      <w:lvlJc w:val="left"/>
      <w:pPr>
        <w:tabs>
          <w:tab w:val="num" w:pos="5040"/>
        </w:tabs>
        <w:ind w:left="5040" w:hanging="360"/>
      </w:pPr>
      <w:rPr>
        <w:rFonts w:ascii="Arial" w:hAnsi="Arial" w:hint="default"/>
      </w:rPr>
    </w:lvl>
    <w:lvl w:ilvl="7" w:tplc="0A384A4E" w:tentative="1">
      <w:start w:val="1"/>
      <w:numFmt w:val="bullet"/>
      <w:lvlText w:val="•"/>
      <w:lvlJc w:val="left"/>
      <w:pPr>
        <w:tabs>
          <w:tab w:val="num" w:pos="5760"/>
        </w:tabs>
        <w:ind w:left="5760" w:hanging="360"/>
      </w:pPr>
      <w:rPr>
        <w:rFonts w:ascii="Arial" w:hAnsi="Arial" w:hint="default"/>
      </w:rPr>
    </w:lvl>
    <w:lvl w:ilvl="8" w:tplc="0AB2B1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5B105D"/>
    <w:multiLevelType w:val="hybridMultilevel"/>
    <w:tmpl w:val="D1C4DEC4"/>
    <w:lvl w:ilvl="0" w:tplc="B6543C60">
      <w:start w:val="1"/>
      <w:numFmt w:val="bullet"/>
      <w:lvlText w:val="•"/>
      <w:lvlJc w:val="left"/>
      <w:pPr>
        <w:tabs>
          <w:tab w:val="num" w:pos="720"/>
        </w:tabs>
        <w:ind w:left="720" w:hanging="360"/>
      </w:pPr>
      <w:rPr>
        <w:rFonts w:ascii="Arial" w:hAnsi="Arial" w:hint="default"/>
      </w:rPr>
    </w:lvl>
    <w:lvl w:ilvl="1" w:tplc="B3A8CE00" w:tentative="1">
      <w:start w:val="1"/>
      <w:numFmt w:val="bullet"/>
      <w:lvlText w:val="•"/>
      <w:lvlJc w:val="left"/>
      <w:pPr>
        <w:tabs>
          <w:tab w:val="num" w:pos="1440"/>
        </w:tabs>
        <w:ind w:left="1440" w:hanging="360"/>
      </w:pPr>
      <w:rPr>
        <w:rFonts w:ascii="Arial" w:hAnsi="Arial" w:hint="default"/>
      </w:rPr>
    </w:lvl>
    <w:lvl w:ilvl="2" w:tplc="7E96E12A" w:tentative="1">
      <w:start w:val="1"/>
      <w:numFmt w:val="bullet"/>
      <w:lvlText w:val="•"/>
      <w:lvlJc w:val="left"/>
      <w:pPr>
        <w:tabs>
          <w:tab w:val="num" w:pos="2160"/>
        </w:tabs>
        <w:ind w:left="2160" w:hanging="360"/>
      </w:pPr>
      <w:rPr>
        <w:rFonts w:ascii="Arial" w:hAnsi="Arial" w:hint="default"/>
      </w:rPr>
    </w:lvl>
    <w:lvl w:ilvl="3" w:tplc="CCAA4754" w:tentative="1">
      <w:start w:val="1"/>
      <w:numFmt w:val="bullet"/>
      <w:lvlText w:val="•"/>
      <w:lvlJc w:val="left"/>
      <w:pPr>
        <w:tabs>
          <w:tab w:val="num" w:pos="2880"/>
        </w:tabs>
        <w:ind w:left="2880" w:hanging="360"/>
      </w:pPr>
      <w:rPr>
        <w:rFonts w:ascii="Arial" w:hAnsi="Arial" w:hint="default"/>
      </w:rPr>
    </w:lvl>
    <w:lvl w:ilvl="4" w:tplc="E0F82670" w:tentative="1">
      <w:start w:val="1"/>
      <w:numFmt w:val="bullet"/>
      <w:lvlText w:val="•"/>
      <w:lvlJc w:val="left"/>
      <w:pPr>
        <w:tabs>
          <w:tab w:val="num" w:pos="3600"/>
        </w:tabs>
        <w:ind w:left="3600" w:hanging="360"/>
      </w:pPr>
      <w:rPr>
        <w:rFonts w:ascii="Arial" w:hAnsi="Arial" w:hint="default"/>
      </w:rPr>
    </w:lvl>
    <w:lvl w:ilvl="5" w:tplc="F858E076" w:tentative="1">
      <w:start w:val="1"/>
      <w:numFmt w:val="bullet"/>
      <w:lvlText w:val="•"/>
      <w:lvlJc w:val="left"/>
      <w:pPr>
        <w:tabs>
          <w:tab w:val="num" w:pos="4320"/>
        </w:tabs>
        <w:ind w:left="4320" w:hanging="360"/>
      </w:pPr>
      <w:rPr>
        <w:rFonts w:ascii="Arial" w:hAnsi="Arial" w:hint="default"/>
      </w:rPr>
    </w:lvl>
    <w:lvl w:ilvl="6" w:tplc="A2FC2EC6" w:tentative="1">
      <w:start w:val="1"/>
      <w:numFmt w:val="bullet"/>
      <w:lvlText w:val="•"/>
      <w:lvlJc w:val="left"/>
      <w:pPr>
        <w:tabs>
          <w:tab w:val="num" w:pos="5040"/>
        </w:tabs>
        <w:ind w:left="5040" w:hanging="360"/>
      </w:pPr>
      <w:rPr>
        <w:rFonts w:ascii="Arial" w:hAnsi="Arial" w:hint="default"/>
      </w:rPr>
    </w:lvl>
    <w:lvl w:ilvl="7" w:tplc="DFCC3D70" w:tentative="1">
      <w:start w:val="1"/>
      <w:numFmt w:val="bullet"/>
      <w:lvlText w:val="•"/>
      <w:lvlJc w:val="left"/>
      <w:pPr>
        <w:tabs>
          <w:tab w:val="num" w:pos="5760"/>
        </w:tabs>
        <w:ind w:left="5760" w:hanging="360"/>
      </w:pPr>
      <w:rPr>
        <w:rFonts w:ascii="Arial" w:hAnsi="Arial" w:hint="default"/>
      </w:rPr>
    </w:lvl>
    <w:lvl w:ilvl="8" w:tplc="81F2A82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18"/>
  </w:num>
  <w:num w:numId="4">
    <w:abstractNumId w:val="17"/>
  </w:num>
  <w:num w:numId="5">
    <w:abstractNumId w:val="1"/>
  </w:num>
  <w:num w:numId="6">
    <w:abstractNumId w:val="15"/>
  </w:num>
  <w:num w:numId="7">
    <w:abstractNumId w:val="4"/>
  </w:num>
  <w:num w:numId="8">
    <w:abstractNumId w:val="9"/>
  </w:num>
  <w:num w:numId="9">
    <w:abstractNumId w:val="14"/>
  </w:num>
  <w:num w:numId="10">
    <w:abstractNumId w:val="5"/>
  </w:num>
  <w:num w:numId="11">
    <w:abstractNumId w:val="13"/>
  </w:num>
  <w:num w:numId="12">
    <w:abstractNumId w:val="2"/>
  </w:num>
  <w:num w:numId="13">
    <w:abstractNumId w:val="12"/>
  </w:num>
  <w:num w:numId="14">
    <w:abstractNumId w:val="3"/>
  </w:num>
  <w:num w:numId="15">
    <w:abstractNumId w:val="7"/>
  </w:num>
  <w:num w:numId="16">
    <w:abstractNumId w:val="16"/>
  </w:num>
  <w:num w:numId="17">
    <w:abstractNumId w:val="10"/>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oNotTrackMoves/>
  <w:defaultTabStop w:val="708"/>
  <w:hyphenationZone w:val="425"/>
  <w:drawingGridHorizontalSpacing w:val="110"/>
  <w:displayHorizontalDrawingGridEvery w:val="2"/>
  <w:characterSpacingControl w:val="doNotCompress"/>
  <w:hdrShapeDefaults>
    <o:shapedefaults v:ext="edit" spidmax="2051">
      <o:colormru v:ext="edit" colors="#ccecf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74DB"/>
    <w:rsid w:val="00000A0C"/>
    <w:rsid w:val="00000A29"/>
    <w:rsid w:val="00001546"/>
    <w:rsid w:val="000030F7"/>
    <w:rsid w:val="0001271C"/>
    <w:rsid w:val="000143F5"/>
    <w:rsid w:val="000160F0"/>
    <w:rsid w:val="00017AF7"/>
    <w:rsid w:val="00021213"/>
    <w:rsid w:val="000230D3"/>
    <w:rsid w:val="00023D83"/>
    <w:rsid w:val="000303E5"/>
    <w:rsid w:val="000319DB"/>
    <w:rsid w:val="00031E13"/>
    <w:rsid w:val="00032D92"/>
    <w:rsid w:val="00040230"/>
    <w:rsid w:val="00040654"/>
    <w:rsid w:val="0004319E"/>
    <w:rsid w:val="00043C39"/>
    <w:rsid w:val="00044B20"/>
    <w:rsid w:val="00046FA3"/>
    <w:rsid w:val="00053BD4"/>
    <w:rsid w:val="00057061"/>
    <w:rsid w:val="0005733C"/>
    <w:rsid w:val="000626CF"/>
    <w:rsid w:val="00064FB5"/>
    <w:rsid w:val="00076102"/>
    <w:rsid w:val="00076B78"/>
    <w:rsid w:val="000803B6"/>
    <w:rsid w:val="000808B6"/>
    <w:rsid w:val="00081D35"/>
    <w:rsid w:val="00082D38"/>
    <w:rsid w:val="00084237"/>
    <w:rsid w:val="00085A87"/>
    <w:rsid w:val="00091D23"/>
    <w:rsid w:val="000A13A6"/>
    <w:rsid w:val="000A142E"/>
    <w:rsid w:val="000A2566"/>
    <w:rsid w:val="000A560D"/>
    <w:rsid w:val="000A5759"/>
    <w:rsid w:val="000A7A35"/>
    <w:rsid w:val="000B0360"/>
    <w:rsid w:val="000B0948"/>
    <w:rsid w:val="000B36D6"/>
    <w:rsid w:val="000B3B3A"/>
    <w:rsid w:val="000B3B5E"/>
    <w:rsid w:val="000B5514"/>
    <w:rsid w:val="000B74E5"/>
    <w:rsid w:val="000B75CC"/>
    <w:rsid w:val="000C1017"/>
    <w:rsid w:val="000C3415"/>
    <w:rsid w:val="000D195D"/>
    <w:rsid w:val="000D5B20"/>
    <w:rsid w:val="000E0098"/>
    <w:rsid w:val="000F1075"/>
    <w:rsid w:val="000F4E79"/>
    <w:rsid w:val="000F7C55"/>
    <w:rsid w:val="00100272"/>
    <w:rsid w:val="001043E2"/>
    <w:rsid w:val="001045ED"/>
    <w:rsid w:val="0010668C"/>
    <w:rsid w:val="001103CE"/>
    <w:rsid w:val="00110545"/>
    <w:rsid w:val="001109BB"/>
    <w:rsid w:val="001113CC"/>
    <w:rsid w:val="00111BCA"/>
    <w:rsid w:val="00114357"/>
    <w:rsid w:val="00114416"/>
    <w:rsid w:val="00115BCF"/>
    <w:rsid w:val="001167CB"/>
    <w:rsid w:val="001173D1"/>
    <w:rsid w:val="00121ADD"/>
    <w:rsid w:val="00121E22"/>
    <w:rsid w:val="001246CC"/>
    <w:rsid w:val="001261AE"/>
    <w:rsid w:val="0012717D"/>
    <w:rsid w:val="00130C55"/>
    <w:rsid w:val="00136BFB"/>
    <w:rsid w:val="001379EB"/>
    <w:rsid w:val="00140706"/>
    <w:rsid w:val="00145689"/>
    <w:rsid w:val="00146251"/>
    <w:rsid w:val="001462E3"/>
    <w:rsid w:val="00150AAA"/>
    <w:rsid w:val="0015138B"/>
    <w:rsid w:val="00151D72"/>
    <w:rsid w:val="001574DF"/>
    <w:rsid w:val="001610F9"/>
    <w:rsid w:val="00162B1F"/>
    <w:rsid w:val="00163FDD"/>
    <w:rsid w:val="00171B22"/>
    <w:rsid w:val="00173586"/>
    <w:rsid w:val="00181173"/>
    <w:rsid w:val="00181EA2"/>
    <w:rsid w:val="00184E28"/>
    <w:rsid w:val="00190592"/>
    <w:rsid w:val="001917D2"/>
    <w:rsid w:val="00197BD4"/>
    <w:rsid w:val="001A05F9"/>
    <w:rsid w:val="001A08F7"/>
    <w:rsid w:val="001A0B61"/>
    <w:rsid w:val="001A0F78"/>
    <w:rsid w:val="001A18D9"/>
    <w:rsid w:val="001A2665"/>
    <w:rsid w:val="001A36A0"/>
    <w:rsid w:val="001A4A6E"/>
    <w:rsid w:val="001A554E"/>
    <w:rsid w:val="001B391C"/>
    <w:rsid w:val="001B3FD0"/>
    <w:rsid w:val="001B4388"/>
    <w:rsid w:val="001B4651"/>
    <w:rsid w:val="001B4837"/>
    <w:rsid w:val="001C3247"/>
    <w:rsid w:val="001D200B"/>
    <w:rsid w:val="001D42D2"/>
    <w:rsid w:val="001D4532"/>
    <w:rsid w:val="001D5BBC"/>
    <w:rsid w:val="001D6A5B"/>
    <w:rsid w:val="001E0292"/>
    <w:rsid w:val="001E72D9"/>
    <w:rsid w:val="001E7A61"/>
    <w:rsid w:val="001F4EC3"/>
    <w:rsid w:val="00201F28"/>
    <w:rsid w:val="0020418D"/>
    <w:rsid w:val="002041FC"/>
    <w:rsid w:val="00204B7A"/>
    <w:rsid w:val="0020659C"/>
    <w:rsid w:val="0021241F"/>
    <w:rsid w:val="00213849"/>
    <w:rsid w:val="00215D3F"/>
    <w:rsid w:val="00217E70"/>
    <w:rsid w:val="0022045A"/>
    <w:rsid w:val="002236EE"/>
    <w:rsid w:val="00224C43"/>
    <w:rsid w:val="00226494"/>
    <w:rsid w:val="002310BE"/>
    <w:rsid w:val="002327B6"/>
    <w:rsid w:val="002349FD"/>
    <w:rsid w:val="00235F04"/>
    <w:rsid w:val="002377C2"/>
    <w:rsid w:val="00240366"/>
    <w:rsid w:val="00243BAD"/>
    <w:rsid w:val="00245C32"/>
    <w:rsid w:val="002521AA"/>
    <w:rsid w:val="0025267F"/>
    <w:rsid w:val="00255040"/>
    <w:rsid w:val="002574ED"/>
    <w:rsid w:val="002575E6"/>
    <w:rsid w:val="00261CB3"/>
    <w:rsid w:val="00263157"/>
    <w:rsid w:val="00265EC8"/>
    <w:rsid w:val="002710DC"/>
    <w:rsid w:val="002720B8"/>
    <w:rsid w:val="00272DFD"/>
    <w:rsid w:val="00273690"/>
    <w:rsid w:val="002811EB"/>
    <w:rsid w:val="00281797"/>
    <w:rsid w:val="0028624D"/>
    <w:rsid w:val="00292F47"/>
    <w:rsid w:val="00296EEA"/>
    <w:rsid w:val="002A05DE"/>
    <w:rsid w:val="002A09C5"/>
    <w:rsid w:val="002A09F1"/>
    <w:rsid w:val="002B064A"/>
    <w:rsid w:val="002B3312"/>
    <w:rsid w:val="002B52AE"/>
    <w:rsid w:val="002C0350"/>
    <w:rsid w:val="002C1F0B"/>
    <w:rsid w:val="002C22D4"/>
    <w:rsid w:val="002C4292"/>
    <w:rsid w:val="002C45F6"/>
    <w:rsid w:val="002C603D"/>
    <w:rsid w:val="002D0496"/>
    <w:rsid w:val="002D2B0C"/>
    <w:rsid w:val="002D3C41"/>
    <w:rsid w:val="002E4DFE"/>
    <w:rsid w:val="002E53CD"/>
    <w:rsid w:val="002F01EE"/>
    <w:rsid w:val="002F0278"/>
    <w:rsid w:val="002F17C9"/>
    <w:rsid w:val="002F51A3"/>
    <w:rsid w:val="002F7E3A"/>
    <w:rsid w:val="003026F3"/>
    <w:rsid w:val="00302E83"/>
    <w:rsid w:val="00303A43"/>
    <w:rsid w:val="003043FF"/>
    <w:rsid w:val="003058F5"/>
    <w:rsid w:val="003101F6"/>
    <w:rsid w:val="00313154"/>
    <w:rsid w:val="00314108"/>
    <w:rsid w:val="00314F95"/>
    <w:rsid w:val="00316868"/>
    <w:rsid w:val="00320273"/>
    <w:rsid w:val="00321329"/>
    <w:rsid w:val="00324CC5"/>
    <w:rsid w:val="0032511B"/>
    <w:rsid w:val="00331E8C"/>
    <w:rsid w:val="0033648A"/>
    <w:rsid w:val="00343E0C"/>
    <w:rsid w:val="00350AE5"/>
    <w:rsid w:val="00351E72"/>
    <w:rsid w:val="00351FA0"/>
    <w:rsid w:val="00353D8A"/>
    <w:rsid w:val="00354137"/>
    <w:rsid w:val="00355027"/>
    <w:rsid w:val="00363A19"/>
    <w:rsid w:val="003649B3"/>
    <w:rsid w:val="00370462"/>
    <w:rsid w:val="00374B22"/>
    <w:rsid w:val="003759A6"/>
    <w:rsid w:val="00375FF8"/>
    <w:rsid w:val="00376F3C"/>
    <w:rsid w:val="00381BF8"/>
    <w:rsid w:val="00382571"/>
    <w:rsid w:val="003841EF"/>
    <w:rsid w:val="003869FC"/>
    <w:rsid w:val="00395E4D"/>
    <w:rsid w:val="0039723C"/>
    <w:rsid w:val="003A19FE"/>
    <w:rsid w:val="003A7315"/>
    <w:rsid w:val="003B0CE9"/>
    <w:rsid w:val="003B4DAA"/>
    <w:rsid w:val="003B5F7E"/>
    <w:rsid w:val="003C0331"/>
    <w:rsid w:val="003D6545"/>
    <w:rsid w:val="003E0978"/>
    <w:rsid w:val="003E0B00"/>
    <w:rsid w:val="003E1660"/>
    <w:rsid w:val="003E4B2C"/>
    <w:rsid w:val="003E508E"/>
    <w:rsid w:val="003F3096"/>
    <w:rsid w:val="00406CDC"/>
    <w:rsid w:val="00406EBE"/>
    <w:rsid w:val="0041087C"/>
    <w:rsid w:val="00410F70"/>
    <w:rsid w:val="004165E2"/>
    <w:rsid w:val="004168DD"/>
    <w:rsid w:val="004200EA"/>
    <w:rsid w:val="0042391C"/>
    <w:rsid w:val="00426116"/>
    <w:rsid w:val="00427928"/>
    <w:rsid w:val="0043061D"/>
    <w:rsid w:val="00434689"/>
    <w:rsid w:val="0043564E"/>
    <w:rsid w:val="00437A89"/>
    <w:rsid w:val="00440498"/>
    <w:rsid w:val="00441F65"/>
    <w:rsid w:val="004458FD"/>
    <w:rsid w:val="00453AE3"/>
    <w:rsid w:val="0045535A"/>
    <w:rsid w:val="0045596D"/>
    <w:rsid w:val="0045698F"/>
    <w:rsid w:val="0046770F"/>
    <w:rsid w:val="00471AF5"/>
    <w:rsid w:val="00472241"/>
    <w:rsid w:val="00475F3D"/>
    <w:rsid w:val="00476199"/>
    <w:rsid w:val="004774CB"/>
    <w:rsid w:val="0048020A"/>
    <w:rsid w:val="004819D9"/>
    <w:rsid w:val="0048777B"/>
    <w:rsid w:val="00490DFB"/>
    <w:rsid w:val="004A1C6B"/>
    <w:rsid w:val="004A3438"/>
    <w:rsid w:val="004B388F"/>
    <w:rsid w:val="004B6024"/>
    <w:rsid w:val="004C5AB1"/>
    <w:rsid w:val="004C6929"/>
    <w:rsid w:val="004D0B37"/>
    <w:rsid w:val="004D41F9"/>
    <w:rsid w:val="004D4801"/>
    <w:rsid w:val="004D5358"/>
    <w:rsid w:val="004D7770"/>
    <w:rsid w:val="004E00EB"/>
    <w:rsid w:val="004E095D"/>
    <w:rsid w:val="004E0B73"/>
    <w:rsid w:val="004E2B8D"/>
    <w:rsid w:val="004E2F2A"/>
    <w:rsid w:val="004E4747"/>
    <w:rsid w:val="004E6438"/>
    <w:rsid w:val="004F055C"/>
    <w:rsid w:val="004F0EC5"/>
    <w:rsid w:val="004F0ED4"/>
    <w:rsid w:val="004F3A3F"/>
    <w:rsid w:val="004F41FA"/>
    <w:rsid w:val="004F5958"/>
    <w:rsid w:val="004F5C46"/>
    <w:rsid w:val="004F6256"/>
    <w:rsid w:val="005072CF"/>
    <w:rsid w:val="005101A9"/>
    <w:rsid w:val="00514194"/>
    <w:rsid w:val="0051718C"/>
    <w:rsid w:val="00520884"/>
    <w:rsid w:val="00520CC2"/>
    <w:rsid w:val="0052229C"/>
    <w:rsid w:val="00522931"/>
    <w:rsid w:val="00523BB7"/>
    <w:rsid w:val="00526AD7"/>
    <w:rsid w:val="0052729F"/>
    <w:rsid w:val="00532E44"/>
    <w:rsid w:val="005338C4"/>
    <w:rsid w:val="00536259"/>
    <w:rsid w:val="0054106E"/>
    <w:rsid w:val="00541209"/>
    <w:rsid w:val="00543E74"/>
    <w:rsid w:val="005471D4"/>
    <w:rsid w:val="0055314C"/>
    <w:rsid w:val="00553852"/>
    <w:rsid w:val="00553F5D"/>
    <w:rsid w:val="00560EC2"/>
    <w:rsid w:val="00562618"/>
    <w:rsid w:val="005637B7"/>
    <w:rsid w:val="00563C6A"/>
    <w:rsid w:val="00574AB2"/>
    <w:rsid w:val="00575D6A"/>
    <w:rsid w:val="005778C2"/>
    <w:rsid w:val="005779B0"/>
    <w:rsid w:val="00581969"/>
    <w:rsid w:val="005913A4"/>
    <w:rsid w:val="00593676"/>
    <w:rsid w:val="005A01ED"/>
    <w:rsid w:val="005A0A35"/>
    <w:rsid w:val="005A20C0"/>
    <w:rsid w:val="005A3951"/>
    <w:rsid w:val="005A6C70"/>
    <w:rsid w:val="005A7DCD"/>
    <w:rsid w:val="005B2BDF"/>
    <w:rsid w:val="005C3FA2"/>
    <w:rsid w:val="005D0011"/>
    <w:rsid w:val="005D2718"/>
    <w:rsid w:val="005D4BCF"/>
    <w:rsid w:val="005D5A17"/>
    <w:rsid w:val="005D72A6"/>
    <w:rsid w:val="005E02FF"/>
    <w:rsid w:val="005E05AC"/>
    <w:rsid w:val="005E4608"/>
    <w:rsid w:val="005F220D"/>
    <w:rsid w:val="005F4463"/>
    <w:rsid w:val="005F645A"/>
    <w:rsid w:val="005F78A9"/>
    <w:rsid w:val="006001E3"/>
    <w:rsid w:val="006044B0"/>
    <w:rsid w:val="00606204"/>
    <w:rsid w:val="006077BE"/>
    <w:rsid w:val="0061064C"/>
    <w:rsid w:val="0061183E"/>
    <w:rsid w:val="00615F1A"/>
    <w:rsid w:val="0062104C"/>
    <w:rsid w:val="0062121D"/>
    <w:rsid w:val="00622B1E"/>
    <w:rsid w:val="00626AAC"/>
    <w:rsid w:val="00627D4B"/>
    <w:rsid w:val="00630969"/>
    <w:rsid w:val="006316BE"/>
    <w:rsid w:val="00632D60"/>
    <w:rsid w:val="00633F37"/>
    <w:rsid w:val="006403EC"/>
    <w:rsid w:val="006412C0"/>
    <w:rsid w:val="0064151C"/>
    <w:rsid w:val="00641FA4"/>
    <w:rsid w:val="00642542"/>
    <w:rsid w:val="00642ABF"/>
    <w:rsid w:val="00645668"/>
    <w:rsid w:val="00646B34"/>
    <w:rsid w:val="006511F9"/>
    <w:rsid w:val="0065183E"/>
    <w:rsid w:val="00651FE8"/>
    <w:rsid w:val="006557FB"/>
    <w:rsid w:val="00655891"/>
    <w:rsid w:val="00656584"/>
    <w:rsid w:val="00660C21"/>
    <w:rsid w:val="006616B2"/>
    <w:rsid w:val="00662DDB"/>
    <w:rsid w:val="00662EBA"/>
    <w:rsid w:val="00664C2A"/>
    <w:rsid w:val="00665CC7"/>
    <w:rsid w:val="006667FA"/>
    <w:rsid w:val="00676B57"/>
    <w:rsid w:val="00683604"/>
    <w:rsid w:val="006851B5"/>
    <w:rsid w:val="00685318"/>
    <w:rsid w:val="00687463"/>
    <w:rsid w:val="006876C8"/>
    <w:rsid w:val="00687C81"/>
    <w:rsid w:val="00690BF4"/>
    <w:rsid w:val="00693589"/>
    <w:rsid w:val="00697094"/>
    <w:rsid w:val="006975A6"/>
    <w:rsid w:val="006A20DE"/>
    <w:rsid w:val="006A5AF0"/>
    <w:rsid w:val="006A6C5B"/>
    <w:rsid w:val="006A7E79"/>
    <w:rsid w:val="006B045C"/>
    <w:rsid w:val="006B069A"/>
    <w:rsid w:val="006B079B"/>
    <w:rsid w:val="006B21DA"/>
    <w:rsid w:val="006B3CCB"/>
    <w:rsid w:val="006B6BDE"/>
    <w:rsid w:val="006B7CAB"/>
    <w:rsid w:val="006C00A7"/>
    <w:rsid w:val="006C1E67"/>
    <w:rsid w:val="006C5EC9"/>
    <w:rsid w:val="006D60EA"/>
    <w:rsid w:val="006E064D"/>
    <w:rsid w:val="006E1761"/>
    <w:rsid w:val="006E3B24"/>
    <w:rsid w:val="006E4EC0"/>
    <w:rsid w:val="006E542F"/>
    <w:rsid w:val="006E6A19"/>
    <w:rsid w:val="006E7FDE"/>
    <w:rsid w:val="006F0760"/>
    <w:rsid w:val="006F23D1"/>
    <w:rsid w:val="006F2C45"/>
    <w:rsid w:val="006F603F"/>
    <w:rsid w:val="00702ED1"/>
    <w:rsid w:val="007033B8"/>
    <w:rsid w:val="0070470F"/>
    <w:rsid w:val="00706C7A"/>
    <w:rsid w:val="007079D8"/>
    <w:rsid w:val="007116AA"/>
    <w:rsid w:val="00714037"/>
    <w:rsid w:val="007237A9"/>
    <w:rsid w:val="00723963"/>
    <w:rsid w:val="00724B9A"/>
    <w:rsid w:val="007256D9"/>
    <w:rsid w:val="007304CB"/>
    <w:rsid w:val="0073127D"/>
    <w:rsid w:val="0073174D"/>
    <w:rsid w:val="00733F5A"/>
    <w:rsid w:val="0074277F"/>
    <w:rsid w:val="00742959"/>
    <w:rsid w:val="0074313F"/>
    <w:rsid w:val="007501D5"/>
    <w:rsid w:val="007548C8"/>
    <w:rsid w:val="00754C6B"/>
    <w:rsid w:val="007600EE"/>
    <w:rsid w:val="007619F5"/>
    <w:rsid w:val="00766466"/>
    <w:rsid w:val="007672A2"/>
    <w:rsid w:val="00767D06"/>
    <w:rsid w:val="007709D1"/>
    <w:rsid w:val="007710A6"/>
    <w:rsid w:val="00774F36"/>
    <w:rsid w:val="007755E1"/>
    <w:rsid w:val="00782920"/>
    <w:rsid w:val="00791045"/>
    <w:rsid w:val="00791C24"/>
    <w:rsid w:val="0079207F"/>
    <w:rsid w:val="007937C3"/>
    <w:rsid w:val="00794C65"/>
    <w:rsid w:val="007954B2"/>
    <w:rsid w:val="00795F94"/>
    <w:rsid w:val="00796806"/>
    <w:rsid w:val="007B1385"/>
    <w:rsid w:val="007B2122"/>
    <w:rsid w:val="007B40E8"/>
    <w:rsid w:val="007B7C3E"/>
    <w:rsid w:val="007C01C6"/>
    <w:rsid w:val="007C5760"/>
    <w:rsid w:val="007C59B7"/>
    <w:rsid w:val="007C662F"/>
    <w:rsid w:val="007D0409"/>
    <w:rsid w:val="007D446F"/>
    <w:rsid w:val="007D691D"/>
    <w:rsid w:val="007E4168"/>
    <w:rsid w:val="007E46B6"/>
    <w:rsid w:val="007E5A5D"/>
    <w:rsid w:val="007F0120"/>
    <w:rsid w:val="007F509F"/>
    <w:rsid w:val="007F5E57"/>
    <w:rsid w:val="00803499"/>
    <w:rsid w:val="00803A06"/>
    <w:rsid w:val="00803B2F"/>
    <w:rsid w:val="00804F6C"/>
    <w:rsid w:val="00805FD6"/>
    <w:rsid w:val="008061C0"/>
    <w:rsid w:val="008073F8"/>
    <w:rsid w:val="008127B1"/>
    <w:rsid w:val="0081747E"/>
    <w:rsid w:val="00821213"/>
    <w:rsid w:val="00823312"/>
    <w:rsid w:val="00837300"/>
    <w:rsid w:val="00841B54"/>
    <w:rsid w:val="008466F2"/>
    <w:rsid w:val="0085343B"/>
    <w:rsid w:val="00867AB7"/>
    <w:rsid w:val="00873DE6"/>
    <w:rsid w:val="00877A1C"/>
    <w:rsid w:val="00881048"/>
    <w:rsid w:val="00884B60"/>
    <w:rsid w:val="008861EA"/>
    <w:rsid w:val="00886F0A"/>
    <w:rsid w:val="008909FF"/>
    <w:rsid w:val="008A1341"/>
    <w:rsid w:val="008A21AF"/>
    <w:rsid w:val="008A28CA"/>
    <w:rsid w:val="008A746C"/>
    <w:rsid w:val="008B53B9"/>
    <w:rsid w:val="008C295D"/>
    <w:rsid w:val="008D2F51"/>
    <w:rsid w:val="008D65F7"/>
    <w:rsid w:val="008D6BCA"/>
    <w:rsid w:val="008E256A"/>
    <w:rsid w:val="008F1CD2"/>
    <w:rsid w:val="009011A3"/>
    <w:rsid w:val="0090130E"/>
    <w:rsid w:val="009053D1"/>
    <w:rsid w:val="00905E76"/>
    <w:rsid w:val="00911261"/>
    <w:rsid w:val="009118A7"/>
    <w:rsid w:val="009149E1"/>
    <w:rsid w:val="00914FCA"/>
    <w:rsid w:val="00916795"/>
    <w:rsid w:val="00925B09"/>
    <w:rsid w:val="00926E4D"/>
    <w:rsid w:val="009273A5"/>
    <w:rsid w:val="00927DA5"/>
    <w:rsid w:val="00931FD4"/>
    <w:rsid w:val="00934687"/>
    <w:rsid w:val="00935DE0"/>
    <w:rsid w:val="00937A78"/>
    <w:rsid w:val="00940F6C"/>
    <w:rsid w:val="00941249"/>
    <w:rsid w:val="0094155B"/>
    <w:rsid w:val="009416D9"/>
    <w:rsid w:val="009421BB"/>
    <w:rsid w:val="00942EF0"/>
    <w:rsid w:val="009446DD"/>
    <w:rsid w:val="00944975"/>
    <w:rsid w:val="0094643B"/>
    <w:rsid w:val="00946AD6"/>
    <w:rsid w:val="009479B2"/>
    <w:rsid w:val="00950271"/>
    <w:rsid w:val="0095364D"/>
    <w:rsid w:val="00955141"/>
    <w:rsid w:val="00957DFF"/>
    <w:rsid w:val="009601B9"/>
    <w:rsid w:val="00967F9C"/>
    <w:rsid w:val="00974102"/>
    <w:rsid w:val="00974AD8"/>
    <w:rsid w:val="00984DEC"/>
    <w:rsid w:val="00985E66"/>
    <w:rsid w:val="0099074E"/>
    <w:rsid w:val="00995491"/>
    <w:rsid w:val="009A22F2"/>
    <w:rsid w:val="009A29CB"/>
    <w:rsid w:val="009A31EE"/>
    <w:rsid w:val="009A3A4D"/>
    <w:rsid w:val="009A47C3"/>
    <w:rsid w:val="009A6EED"/>
    <w:rsid w:val="009B5E20"/>
    <w:rsid w:val="009B7047"/>
    <w:rsid w:val="009C1095"/>
    <w:rsid w:val="009C545B"/>
    <w:rsid w:val="009C7C1B"/>
    <w:rsid w:val="009C7D30"/>
    <w:rsid w:val="009D0F6C"/>
    <w:rsid w:val="009D7A63"/>
    <w:rsid w:val="009E0F8A"/>
    <w:rsid w:val="009E3387"/>
    <w:rsid w:val="009E37A3"/>
    <w:rsid w:val="009E77F8"/>
    <w:rsid w:val="009E79AC"/>
    <w:rsid w:val="009F4629"/>
    <w:rsid w:val="00A0717B"/>
    <w:rsid w:val="00A07C9F"/>
    <w:rsid w:val="00A10254"/>
    <w:rsid w:val="00A103B8"/>
    <w:rsid w:val="00A11894"/>
    <w:rsid w:val="00A138FE"/>
    <w:rsid w:val="00A15064"/>
    <w:rsid w:val="00A1764E"/>
    <w:rsid w:val="00A246C4"/>
    <w:rsid w:val="00A2530E"/>
    <w:rsid w:val="00A27455"/>
    <w:rsid w:val="00A33C0F"/>
    <w:rsid w:val="00A35348"/>
    <w:rsid w:val="00A378E3"/>
    <w:rsid w:val="00A43AF0"/>
    <w:rsid w:val="00A447A9"/>
    <w:rsid w:val="00A46D02"/>
    <w:rsid w:val="00A508CE"/>
    <w:rsid w:val="00A50CBD"/>
    <w:rsid w:val="00A51AA5"/>
    <w:rsid w:val="00A51F3D"/>
    <w:rsid w:val="00A60E78"/>
    <w:rsid w:val="00A622F6"/>
    <w:rsid w:val="00A62A10"/>
    <w:rsid w:val="00A6365A"/>
    <w:rsid w:val="00A640E5"/>
    <w:rsid w:val="00A649ED"/>
    <w:rsid w:val="00A704AD"/>
    <w:rsid w:val="00A708E9"/>
    <w:rsid w:val="00A70B77"/>
    <w:rsid w:val="00A71C93"/>
    <w:rsid w:val="00A758F4"/>
    <w:rsid w:val="00A8089B"/>
    <w:rsid w:val="00A82B02"/>
    <w:rsid w:val="00A84322"/>
    <w:rsid w:val="00A90BAF"/>
    <w:rsid w:val="00A914A8"/>
    <w:rsid w:val="00A93D58"/>
    <w:rsid w:val="00A96209"/>
    <w:rsid w:val="00AA008E"/>
    <w:rsid w:val="00AA083E"/>
    <w:rsid w:val="00AA0EB0"/>
    <w:rsid w:val="00AA1D6F"/>
    <w:rsid w:val="00AA61DB"/>
    <w:rsid w:val="00AA6264"/>
    <w:rsid w:val="00AB0F7A"/>
    <w:rsid w:val="00AB1DE5"/>
    <w:rsid w:val="00AB288F"/>
    <w:rsid w:val="00AB35B5"/>
    <w:rsid w:val="00AB3C3D"/>
    <w:rsid w:val="00AB5302"/>
    <w:rsid w:val="00AB716B"/>
    <w:rsid w:val="00AB71D6"/>
    <w:rsid w:val="00AB7858"/>
    <w:rsid w:val="00AC1CD3"/>
    <w:rsid w:val="00AC2D4C"/>
    <w:rsid w:val="00AC4B9C"/>
    <w:rsid w:val="00AC6F4C"/>
    <w:rsid w:val="00AD20F5"/>
    <w:rsid w:val="00AD2429"/>
    <w:rsid w:val="00AD2FDA"/>
    <w:rsid w:val="00AD3FD8"/>
    <w:rsid w:val="00AD4ABC"/>
    <w:rsid w:val="00AD5C1F"/>
    <w:rsid w:val="00AD5FA7"/>
    <w:rsid w:val="00AE06C9"/>
    <w:rsid w:val="00AE1363"/>
    <w:rsid w:val="00AE3B3A"/>
    <w:rsid w:val="00AE50C9"/>
    <w:rsid w:val="00AF06A3"/>
    <w:rsid w:val="00AF19A1"/>
    <w:rsid w:val="00AF1E6F"/>
    <w:rsid w:val="00AF2145"/>
    <w:rsid w:val="00AF5D64"/>
    <w:rsid w:val="00AF6A1C"/>
    <w:rsid w:val="00B0123A"/>
    <w:rsid w:val="00B017C8"/>
    <w:rsid w:val="00B04721"/>
    <w:rsid w:val="00B12B4D"/>
    <w:rsid w:val="00B163ED"/>
    <w:rsid w:val="00B3403F"/>
    <w:rsid w:val="00B43589"/>
    <w:rsid w:val="00B44399"/>
    <w:rsid w:val="00B47B64"/>
    <w:rsid w:val="00B5083E"/>
    <w:rsid w:val="00B51320"/>
    <w:rsid w:val="00B51669"/>
    <w:rsid w:val="00B525A2"/>
    <w:rsid w:val="00B536A2"/>
    <w:rsid w:val="00B56377"/>
    <w:rsid w:val="00B56E9F"/>
    <w:rsid w:val="00B611C7"/>
    <w:rsid w:val="00B64034"/>
    <w:rsid w:val="00B677DC"/>
    <w:rsid w:val="00B74746"/>
    <w:rsid w:val="00B76CF0"/>
    <w:rsid w:val="00B7736C"/>
    <w:rsid w:val="00B77EE0"/>
    <w:rsid w:val="00B81B97"/>
    <w:rsid w:val="00B84D26"/>
    <w:rsid w:val="00B85459"/>
    <w:rsid w:val="00B912B7"/>
    <w:rsid w:val="00B935D5"/>
    <w:rsid w:val="00B93F27"/>
    <w:rsid w:val="00BA23B8"/>
    <w:rsid w:val="00BA2CF3"/>
    <w:rsid w:val="00BA5CD7"/>
    <w:rsid w:val="00BA71CC"/>
    <w:rsid w:val="00BB3341"/>
    <w:rsid w:val="00BB36E3"/>
    <w:rsid w:val="00BB553A"/>
    <w:rsid w:val="00BC293A"/>
    <w:rsid w:val="00BC2E3C"/>
    <w:rsid w:val="00BC4526"/>
    <w:rsid w:val="00BC4CCB"/>
    <w:rsid w:val="00BD2D43"/>
    <w:rsid w:val="00BD750E"/>
    <w:rsid w:val="00BD756F"/>
    <w:rsid w:val="00BE0DF7"/>
    <w:rsid w:val="00BE2AC5"/>
    <w:rsid w:val="00BE508E"/>
    <w:rsid w:val="00BE6EA5"/>
    <w:rsid w:val="00BE7F01"/>
    <w:rsid w:val="00BF0D67"/>
    <w:rsid w:val="00BF2B8A"/>
    <w:rsid w:val="00C0095F"/>
    <w:rsid w:val="00C028AA"/>
    <w:rsid w:val="00C049C8"/>
    <w:rsid w:val="00C076AD"/>
    <w:rsid w:val="00C105CC"/>
    <w:rsid w:val="00C1112F"/>
    <w:rsid w:val="00C11FEB"/>
    <w:rsid w:val="00C1261F"/>
    <w:rsid w:val="00C129B0"/>
    <w:rsid w:val="00C17356"/>
    <w:rsid w:val="00C20ED5"/>
    <w:rsid w:val="00C224E2"/>
    <w:rsid w:val="00C24EF2"/>
    <w:rsid w:val="00C27431"/>
    <w:rsid w:val="00C3103D"/>
    <w:rsid w:val="00C32C46"/>
    <w:rsid w:val="00C33AFB"/>
    <w:rsid w:val="00C346A7"/>
    <w:rsid w:val="00C374DB"/>
    <w:rsid w:val="00C41C3B"/>
    <w:rsid w:val="00C428D7"/>
    <w:rsid w:val="00C45DE1"/>
    <w:rsid w:val="00C46D0D"/>
    <w:rsid w:val="00C46F2B"/>
    <w:rsid w:val="00C5480B"/>
    <w:rsid w:val="00C6055B"/>
    <w:rsid w:val="00C62099"/>
    <w:rsid w:val="00C62574"/>
    <w:rsid w:val="00C63472"/>
    <w:rsid w:val="00C63EA6"/>
    <w:rsid w:val="00C65589"/>
    <w:rsid w:val="00C67330"/>
    <w:rsid w:val="00C708E8"/>
    <w:rsid w:val="00C7109F"/>
    <w:rsid w:val="00C76C1D"/>
    <w:rsid w:val="00C76F0C"/>
    <w:rsid w:val="00C87F6C"/>
    <w:rsid w:val="00C928DE"/>
    <w:rsid w:val="00C92C0E"/>
    <w:rsid w:val="00CB6B36"/>
    <w:rsid w:val="00CC3CDB"/>
    <w:rsid w:val="00CD0342"/>
    <w:rsid w:val="00CD13F2"/>
    <w:rsid w:val="00CD1772"/>
    <w:rsid w:val="00CD2752"/>
    <w:rsid w:val="00CE186C"/>
    <w:rsid w:val="00CE2559"/>
    <w:rsid w:val="00CE4FE5"/>
    <w:rsid w:val="00CE5849"/>
    <w:rsid w:val="00CE63AB"/>
    <w:rsid w:val="00CF0353"/>
    <w:rsid w:val="00CF0638"/>
    <w:rsid w:val="00CF3CC7"/>
    <w:rsid w:val="00D03486"/>
    <w:rsid w:val="00D0472C"/>
    <w:rsid w:val="00D07DD3"/>
    <w:rsid w:val="00D1185E"/>
    <w:rsid w:val="00D228A9"/>
    <w:rsid w:val="00D2579C"/>
    <w:rsid w:val="00D25967"/>
    <w:rsid w:val="00D270D5"/>
    <w:rsid w:val="00D37486"/>
    <w:rsid w:val="00D426B0"/>
    <w:rsid w:val="00D42957"/>
    <w:rsid w:val="00D45D0D"/>
    <w:rsid w:val="00D518F6"/>
    <w:rsid w:val="00D555C6"/>
    <w:rsid w:val="00D61FBF"/>
    <w:rsid w:val="00D63559"/>
    <w:rsid w:val="00D64C74"/>
    <w:rsid w:val="00D779DE"/>
    <w:rsid w:val="00D82282"/>
    <w:rsid w:val="00D82F46"/>
    <w:rsid w:val="00D90C4D"/>
    <w:rsid w:val="00D93B7D"/>
    <w:rsid w:val="00D96795"/>
    <w:rsid w:val="00DA087D"/>
    <w:rsid w:val="00DA1218"/>
    <w:rsid w:val="00DA26DF"/>
    <w:rsid w:val="00DA2C2D"/>
    <w:rsid w:val="00DA440C"/>
    <w:rsid w:val="00DA53EE"/>
    <w:rsid w:val="00DB0548"/>
    <w:rsid w:val="00DB166D"/>
    <w:rsid w:val="00DB1C95"/>
    <w:rsid w:val="00DB6135"/>
    <w:rsid w:val="00DC7FE5"/>
    <w:rsid w:val="00DD02F3"/>
    <w:rsid w:val="00DD1882"/>
    <w:rsid w:val="00DD19F6"/>
    <w:rsid w:val="00DD6FF5"/>
    <w:rsid w:val="00DD715A"/>
    <w:rsid w:val="00DE23F2"/>
    <w:rsid w:val="00DE5BA0"/>
    <w:rsid w:val="00DE5C57"/>
    <w:rsid w:val="00DF1B42"/>
    <w:rsid w:val="00DF3525"/>
    <w:rsid w:val="00DF518C"/>
    <w:rsid w:val="00E025AB"/>
    <w:rsid w:val="00E0313C"/>
    <w:rsid w:val="00E06D57"/>
    <w:rsid w:val="00E10780"/>
    <w:rsid w:val="00E20F6A"/>
    <w:rsid w:val="00E21C8C"/>
    <w:rsid w:val="00E261B8"/>
    <w:rsid w:val="00E27D1E"/>
    <w:rsid w:val="00E33B82"/>
    <w:rsid w:val="00E36C07"/>
    <w:rsid w:val="00E40D63"/>
    <w:rsid w:val="00E422BE"/>
    <w:rsid w:val="00E45A20"/>
    <w:rsid w:val="00E46B07"/>
    <w:rsid w:val="00E47956"/>
    <w:rsid w:val="00E50196"/>
    <w:rsid w:val="00E51478"/>
    <w:rsid w:val="00E52FF5"/>
    <w:rsid w:val="00E539BA"/>
    <w:rsid w:val="00E542D6"/>
    <w:rsid w:val="00E57E64"/>
    <w:rsid w:val="00E60AA5"/>
    <w:rsid w:val="00E63ECA"/>
    <w:rsid w:val="00E707ED"/>
    <w:rsid w:val="00E74CBB"/>
    <w:rsid w:val="00E75727"/>
    <w:rsid w:val="00E7669D"/>
    <w:rsid w:val="00E768F2"/>
    <w:rsid w:val="00E80D94"/>
    <w:rsid w:val="00E865C1"/>
    <w:rsid w:val="00E866A4"/>
    <w:rsid w:val="00E9284A"/>
    <w:rsid w:val="00E94203"/>
    <w:rsid w:val="00E94DC3"/>
    <w:rsid w:val="00E97E3D"/>
    <w:rsid w:val="00EA0ADF"/>
    <w:rsid w:val="00EA1522"/>
    <w:rsid w:val="00EA5918"/>
    <w:rsid w:val="00EB02B1"/>
    <w:rsid w:val="00EB3FDE"/>
    <w:rsid w:val="00EB41A3"/>
    <w:rsid w:val="00EB76CC"/>
    <w:rsid w:val="00EC1D72"/>
    <w:rsid w:val="00EC6CA9"/>
    <w:rsid w:val="00ED47E2"/>
    <w:rsid w:val="00EE2039"/>
    <w:rsid w:val="00EE35CA"/>
    <w:rsid w:val="00EE5234"/>
    <w:rsid w:val="00EE6263"/>
    <w:rsid w:val="00EF17D6"/>
    <w:rsid w:val="00EF2C09"/>
    <w:rsid w:val="00F01197"/>
    <w:rsid w:val="00F025F5"/>
    <w:rsid w:val="00F05445"/>
    <w:rsid w:val="00F058D0"/>
    <w:rsid w:val="00F05A0C"/>
    <w:rsid w:val="00F06849"/>
    <w:rsid w:val="00F15647"/>
    <w:rsid w:val="00F2123C"/>
    <w:rsid w:val="00F2796F"/>
    <w:rsid w:val="00F309E6"/>
    <w:rsid w:val="00F31224"/>
    <w:rsid w:val="00F3210F"/>
    <w:rsid w:val="00F345F5"/>
    <w:rsid w:val="00F3553E"/>
    <w:rsid w:val="00F355D8"/>
    <w:rsid w:val="00F35C5E"/>
    <w:rsid w:val="00F36015"/>
    <w:rsid w:val="00F41428"/>
    <w:rsid w:val="00F43C48"/>
    <w:rsid w:val="00F45CE4"/>
    <w:rsid w:val="00F525FA"/>
    <w:rsid w:val="00F52DC3"/>
    <w:rsid w:val="00F53D40"/>
    <w:rsid w:val="00F643AF"/>
    <w:rsid w:val="00F66A06"/>
    <w:rsid w:val="00F6745A"/>
    <w:rsid w:val="00F6763E"/>
    <w:rsid w:val="00F70762"/>
    <w:rsid w:val="00F70F15"/>
    <w:rsid w:val="00F712C5"/>
    <w:rsid w:val="00F72218"/>
    <w:rsid w:val="00F800B0"/>
    <w:rsid w:val="00F82D6D"/>
    <w:rsid w:val="00F844E0"/>
    <w:rsid w:val="00F92257"/>
    <w:rsid w:val="00F95640"/>
    <w:rsid w:val="00FA1D5E"/>
    <w:rsid w:val="00FA27E8"/>
    <w:rsid w:val="00FA2853"/>
    <w:rsid w:val="00FA581C"/>
    <w:rsid w:val="00FA7D47"/>
    <w:rsid w:val="00FB1EDD"/>
    <w:rsid w:val="00FB36F0"/>
    <w:rsid w:val="00FB3987"/>
    <w:rsid w:val="00FB4705"/>
    <w:rsid w:val="00FB4B32"/>
    <w:rsid w:val="00FC1A96"/>
    <w:rsid w:val="00FC38C4"/>
    <w:rsid w:val="00FC5ED0"/>
    <w:rsid w:val="00FC5ED8"/>
    <w:rsid w:val="00FD0317"/>
    <w:rsid w:val="00FD1001"/>
    <w:rsid w:val="00FD1EC1"/>
    <w:rsid w:val="00FD68A2"/>
    <w:rsid w:val="00FE05D2"/>
    <w:rsid w:val="00FE360A"/>
    <w:rsid w:val="00FE3677"/>
    <w:rsid w:val="00FE5BAF"/>
    <w:rsid w:val="00FF12F2"/>
    <w:rsid w:val="00FF3189"/>
    <w:rsid w:val="00FF3D6D"/>
    <w:rsid w:val="00FF404C"/>
    <w:rsid w:val="00FF50A0"/>
    <w:rsid w:val="00FF5398"/>
    <w:rsid w:val="00FF5711"/>
    <w:rsid w:val="00FF5C38"/>
    <w:rsid w:val="00FF73C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ccecff"/>
    </o:shapedefaults>
    <o:shapelayout v:ext="edit">
      <o:idmap v:ext="edit" data="1"/>
    </o:shapelayout>
  </w:shapeDefaults>
  <w:decimalSymbol w:val="."/>
  <w:listSeparator w:val=";"/>
  <w15:chartTrackingRefBased/>
  <w15:docId w15:val="{6639FFAA-4AAB-422A-8036-7634DA31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2959"/>
    <w:pPr>
      <w:spacing w:after="200" w:line="276" w:lineRule="auto"/>
    </w:pPr>
    <w:rPr>
      <w:sz w:val="22"/>
      <w:szCs w:val="22"/>
      <w:lang w:val="es-ES" w:eastAsia="en-US"/>
    </w:rPr>
  </w:style>
  <w:style w:type="paragraph" w:styleId="Ttulo1">
    <w:name w:val="heading 1"/>
    <w:basedOn w:val="Normal"/>
    <w:link w:val="Ttulo1Car"/>
    <w:uiPriority w:val="9"/>
    <w:qFormat/>
    <w:rsid w:val="00F025F5"/>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5318"/>
    <w:pPr>
      <w:tabs>
        <w:tab w:val="center" w:pos="4252"/>
        <w:tab w:val="right" w:pos="8504"/>
      </w:tabs>
    </w:pPr>
    <w:rPr>
      <w:lang w:val="x-none"/>
    </w:rPr>
  </w:style>
  <w:style w:type="character" w:customStyle="1" w:styleId="EncabezadoCar">
    <w:name w:val="Encabezado Car"/>
    <w:link w:val="Encabezado"/>
    <w:uiPriority w:val="99"/>
    <w:rsid w:val="00685318"/>
    <w:rPr>
      <w:sz w:val="22"/>
      <w:szCs w:val="22"/>
      <w:lang w:eastAsia="en-US"/>
    </w:rPr>
  </w:style>
  <w:style w:type="paragraph" w:styleId="Piedepgina">
    <w:name w:val="footer"/>
    <w:basedOn w:val="Normal"/>
    <w:link w:val="PiedepginaCar"/>
    <w:uiPriority w:val="99"/>
    <w:unhideWhenUsed/>
    <w:rsid w:val="00685318"/>
    <w:pPr>
      <w:tabs>
        <w:tab w:val="center" w:pos="4252"/>
        <w:tab w:val="right" w:pos="8504"/>
      </w:tabs>
    </w:pPr>
    <w:rPr>
      <w:lang w:val="x-none"/>
    </w:rPr>
  </w:style>
  <w:style w:type="character" w:customStyle="1" w:styleId="PiedepginaCar">
    <w:name w:val="Pie de página Car"/>
    <w:link w:val="Piedepgina"/>
    <w:uiPriority w:val="99"/>
    <w:rsid w:val="00685318"/>
    <w:rPr>
      <w:sz w:val="22"/>
      <w:szCs w:val="22"/>
      <w:lang w:eastAsia="en-US"/>
    </w:rPr>
  </w:style>
  <w:style w:type="table" w:styleId="Tablaconcuadrcula">
    <w:name w:val="Table Grid"/>
    <w:basedOn w:val="Tablanormal"/>
    <w:uiPriority w:val="59"/>
    <w:rsid w:val="00014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5D5A1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94643B"/>
    <w:pPr>
      <w:spacing w:after="0" w:line="240" w:lineRule="auto"/>
      <w:ind w:left="720"/>
      <w:contextualSpacing/>
    </w:pPr>
    <w:rPr>
      <w:lang w:val="es-GT"/>
    </w:rPr>
  </w:style>
  <w:style w:type="table" w:styleId="Listamedia2-nfasis2">
    <w:name w:val="Medium List 2 Accent 2"/>
    <w:basedOn w:val="Tablanormal"/>
    <w:uiPriority w:val="66"/>
    <w:rsid w:val="009D7A63"/>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9D7A63"/>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styleId="Textonotapie">
    <w:name w:val="footnote text"/>
    <w:basedOn w:val="Normal"/>
    <w:link w:val="TextonotapieCar"/>
    <w:uiPriority w:val="99"/>
    <w:semiHidden/>
    <w:unhideWhenUsed/>
    <w:rsid w:val="00AC1CD3"/>
    <w:rPr>
      <w:sz w:val="20"/>
      <w:szCs w:val="20"/>
      <w:lang w:val="x-none"/>
    </w:rPr>
  </w:style>
  <w:style w:type="character" w:customStyle="1" w:styleId="TextonotapieCar">
    <w:name w:val="Texto nota pie Car"/>
    <w:link w:val="Textonotapie"/>
    <w:uiPriority w:val="99"/>
    <w:semiHidden/>
    <w:rsid w:val="00AC1CD3"/>
    <w:rPr>
      <w:lang w:eastAsia="en-US"/>
    </w:rPr>
  </w:style>
  <w:style w:type="character" w:styleId="Refdenotaalpie">
    <w:name w:val="footnote reference"/>
    <w:uiPriority w:val="99"/>
    <w:semiHidden/>
    <w:unhideWhenUsed/>
    <w:rsid w:val="00AC1CD3"/>
    <w:rPr>
      <w:vertAlign w:val="superscript"/>
    </w:rPr>
  </w:style>
  <w:style w:type="character" w:customStyle="1" w:styleId="apple-converted-space">
    <w:name w:val="apple-converted-space"/>
    <w:basedOn w:val="Fuentedeprrafopredeter"/>
    <w:rsid w:val="00395E4D"/>
  </w:style>
  <w:style w:type="character" w:customStyle="1" w:styleId="tweetable">
    <w:name w:val="tweetable"/>
    <w:basedOn w:val="Fuentedeprrafopredeter"/>
    <w:rsid w:val="00395E4D"/>
  </w:style>
  <w:style w:type="character" w:styleId="Hipervnculo">
    <w:name w:val="Hyperlink"/>
    <w:uiPriority w:val="99"/>
    <w:unhideWhenUsed/>
    <w:rsid w:val="00395E4D"/>
    <w:rPr>
      <w:color w:val="0000FF"/>
      <w:u w:val="single"/>
    </w:rPr>
  </w:style>
  <w:style w:type="character" w:customStyle="1" w:styleId="Ttulo1Car">
    <w:name w:val="Título 1 Car"/>
    <w:link w:val="Ttulo1"/>
    <w:uiPriority w:val="9"/>
    <w:rsid w:val="00F025F5"/>
    <w:rPr>
      <w:rFonts w:ascii="Times New Roman" w:eastAsia="Times New Roman" w:hAnsi="Times New Roman"/>
      <w:b/>
      <w:bCs/>
      <w:kern w:val="36"/>
      <w:sz w:val="48"/>
      <w:szCs w:val="48"/>
    </w:rPr>
  </w:style>
  <w:style w:type="table" w:styleId="Sombreadoclaro-nfasis5">
    <w:name w:val="Light Shading Accent 5"/>
    <w:basedOn w:val="Tablanormal"/>
    <w:uiPriority w:val="60"/>
    <w:rsid w:val="006B3CC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Sinespaciado">
    <w:name w:val="No Spacing"/>
    <w:link w:val="SinespaciadoCar"/>
    <w:uiPriority w:val="1"/>
    <w:qFormat/>
    <w:rsid w:val="00AB716B"/>
    <w:rPr>
      <w:rFonts w:eastAsia="Times New Roman"/>
      <w:sz w:val="22"/>
      <w:szCs w:val="22"/>
      <w:lang w:val="es-ES" w:eastAsia="en-US"/>
    </w:rPr>
  </w:style>
  <w:style w:type="character" w:customStyle="1" w:styleId="SinespaciadoCar">
    <w:name w:val="Sin espaciado Car"/>
    <w:link w:val="Sinespaciado"/>
    <w:uiPriority w:val="1"/>
    <w:rsid w:val="00AB716B"/>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AB716B"/>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AB716B"/>
    <w:rPr>
      <w:rFonts w:ascii="Tahoma" w:hAnsi="Tahoma" w:cs="Tahoma"/>
      <w:sz w:val="16"/>
      <w:szCs w:val="16"/>
      <w:lang w:eastAsia="en-US"/>
    </w:rPr>
  </w:style>
  <w:style w:type="character" w:styleId="Refdecomentario">
    <w:name w:val="annotation reference"/>
    <w:uiPriority w:val="99"/>
    <w:semiHidden/>
    <w:unhideWhenUsed/>
    <w:rsid w:val="00D779DE"/>
    <w:rPr>
      <w:sz w:val="16"/>
      <w:szCs w:val="16"/>
    </w:rPr>
  </w:style>
  <w:style w:type="paragraph" w:styleId="Textocomentario">
    <w:name w:val="annotation text"/>
    <w:basedOn w:val="Normal"/>
    <w:link w:val="TextocomentarioCar"/>
    <w:uiPriority w:val="99"/>
    <w:semiHidden/>
    <w:unhideWhenUsed/>
    <w:rsid w:val="00D779DE"/>
    <w:rPr>
      <w:sz w:val="20"/>
      <w:szCs w:val="20"/>
    </w:rPr>
  </w:style>
  <w:style w:type="character" w:customStyle="1" w:styleId="TextocomentarioCar">
    <w:name w:val="Texto comentario Car"/>
    <w:link w:val="Textocomentario"/>
    <w:uiPriority w:val="99"/>
    <w:semiHidden/>
    <w:rsid w:val="00D779DE"/>
    <w:rPr>
      <w:lang w:val="es-ES" w:eastAsia="en-US"/>
    </w:rPr>
  </w:style>
  <w:style w:type="paragraph" w:styleId="Asuntodelcomentario">
    <w:name w:val="annotation subject"/>
    <w:basedOn w:val="Textocomentario"/>
    <w:next w:val="Textocomentario"/>
    <w:link w:val="AsuntodelcomentarioCar"/>
    <w:uiPriority w:val="99"/>
    <w:semiHidden/>
    <w:unhideWhenUsed/>
    <w:rsid w:val="00D779DE"/>
    <w:rPr>
      <w:b/>
      <w:bCs/>
    </w:rPr>
  </w:style>
  <w:style w:type="character" w:customStyle="1" w:styleId="AsuntodelcomentarioCar">
    <w:name w:val="Asunto del comentario Car"/>
    <w:link w:val="Asuntodelcomentario"/>
    <w:uiPriority w:val="99"/>
    <w:semiHidden/>
    <w:rsid w:val="00D779DE"/>
    <w:rPr>
      <w:b/>
      <w:bCs/>
      <w:lang w:val="es-ES" w:eastAsia="en-US"/>
    </w:rPr>
  </w:style>
  <w:style w:type="table" w:styleId="Listamedia2-nfasis6">
    <w:name w:val="Medium List 2 Accent 6"/>
    <w:basedOn w:val="Tablanormal"/>
    <w:uiPriority w:val="66"/>
    <w:rsid w:val="005A7DCD"/>
    <w:rPr>
      <w:rFonts w:ascii="Cambria" w:eastAsia="Times New Roman" w:hAnsi="Cambria"/>
      <w:color w:val="000000"/>
      <w:sz w:val="24"/>
      <w:szCs w:val="24"/>
      <w:lang w:val="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Textoennegrita">
    <w:name w:val="Strong"/>
    <w:uiPriority w:val="22"/>
    <w:qFormat/>
    <w:rsid w:val="00081D35"/>
    <w:rPr>
      <w:b/>
      <w:bCs/>
    </w:rPr>
  </w:style>
  <w:style w:type="paragraph" w:styleId="NormalWeb">
    <w:name w:val="Normal (Web)"/>
    <w:basedOn w:val="Normal"/>
    <w:uiPriority w:val="99"/>
    <w:semiHidden/>
    <w:unhideWhenUsed/>
    <w:rsid w:val="00081D35"/>
    <w:pPr>
      <w:spacing w:before="100" w:beforeAutospacing="1" w:after="100" w:afterAutospacing="1" w:line="240" w:lineRule="auto"/>
    </w:pPr>
    <w:rPr>
      <w:rFonts w:ascii="Times New Roman" w:eastAsia="Times New Roman" w:hAnsi="Times New Roman"/>
      <w:sz w:val="24"/>
      <w:szCs w:val="24"/>
      <w:lang w:eastAsia="es-ES"/>
    </w:rPr>
  </w:style>
  <w:style w:type="table" w:styleId="Listamedia2-nfasis1">
    <w:name w:val="Medium List 2 Accent 1"/>
    <w:basedOn w:val="Tablanormal"/>
    <w:uiPriority w:val="66"/>
    <w:rsid w:val="005101A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5101A9"/>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styleId="Hipervnculovisitado">
    <w:name w:val="FollowedHyperlink"/>
    <w:uiPriority w:val="99"/>
    <w:semiHidden/>
    <w:unhideWhenUsed/>
    <w:rsid w:val="001A554E"/>
    <w:rPr>
      <w:color w:val="800080"/>
      <w:u w:val="single"/>
    </w:rPr>
  </w:style>
  <w:style w:type="paragraph" w:styleId="Mapadeldocumento">
    <w:name w:val="Document Map"/>
    <w:basedOn w:val="Normal"/>
    <w:link w:val="MapadeldocumentoCar"/>
    <w:uiPriority w:val="99"/>
    <w:semiHidden/>
    <w:unhideWhenUsed/>
    <w:rsid w:val="003E0978"/>
    <w:rPr>
      <w:rFonts w:ascii="Tahoma" w:hAnsi="Tahoma" w:cs="Tahoma"/>
      <w:sz w:val="16"/>
      <w:szCs w:val="16"/>
    </w:rPr>
  </w:style>
  <w:style w:type="character" w:customStyle="1" w:styleId="MapadeldocumentoCar">
    <w:name w:val="Mapa del documento Car"/>
    <w:link w:val="Mapadeldocumento"/>
    <w:uiPriority w:val="99"/>
    <w:semiHidden/>
    <w:rsid w:val="003E097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7673">
      <w:bodyDiv w:val="1"/>
      <w:marLeft w:val="0"/>
      <w:marRight w:val="0"/>
      <w:marTop w:val="0"/>
      <w:marBottom w:val="0"/>
      <w:divBdr>
        <w:top w:val="none" w:sz="0" w:space="0" w:color="auto"/>
        <w:left w:val="none" w:sz="0" w:space="0" w:color="auto"/>
        <w:bottom w:val="none" w:sz="0" w:space="0" w:color="auto"/>
        <w:right w:val="none" w:sz="0" w:space="0" w:color="auto"/>
      </w:divBdr>
    </w:div>
    <w:div w:id="117144780">
      <w:bodyDiv w:val="1"/>
      <w:marLeft w:val="0"/>
      <w:marRight w:val="0"/>
      <w:marTop w:val="0"/>
      <w:marBottom w:val="0"/>
      <w:divBdr>
        <w:top w:val="none" w:sz="0" w:space="0" w:color="auto"/>
        <w:left w:val="none" w:sz="0" w:space="0" w:color="auto"/>
        <w:bottom w:val="none" w:sz="0" w:space="0" w:color="auto"/>
        <w:right w:val="none" w:sz="0" w:space="0" w:color="auto"/>
      </w:divBdr>
    </w:div>
    <w:div w:id="126555546">
      <w:bodyDiv w:val="1"/>
      <w:marLeft w:val="0"/>
      <w:marRight w:val="0"/>
      <w:marTop w:val="0"/>
      <w:marBottom w:val="0"/>
      <w:divBdr>
        <w:top w:val="none" w:sz="0" w:space="0" w:color="auto"/>
        <w:left w:val="none" w:sz="0" w:space="0" w:color="auto"/>
        <w:bottom w:val="none" w:sz="0" w:space="0" w:color="auto"/>
        <w:right w:val="none" w:sz="0" w:space="0" w:color="auto"/>
      </w:divBdr>
    </w:div>
    <w:div w:id="129253548">
      <w:bodyDiv w:val="1"/>
      <w:marLeft w:val="0"/>
      <w:marRight w:val="0"/>
      <w:marTop w:val="0"/>
      <w:marBottom w:val="0"/>
      <w:divBdr>
        <w:top w:val="none" w:sz="0" w:space="0" w:color="auto"/>
        <w:left w:val="none" w:sz="0" w:space="0" w:color="auto"/>
        <w:bottom w:val="none" w:sz="0" w:space="0" w:color="auto"/>
        <w:right w:val="none" w:sz="0" w:space="0" w:color="auto"/>
      </w:divBdr>
    </w:div>
    <w:div w:id="247468132">
      <w:bodyDiv w:val="1"/>
      <w:marLeft w:val="0"/>
      <w:marRight w:val="0"/>
      <w:marTop w:val="0"/>
      <w:marBottom w:val="0"/>
      <w:divBdr>
        <w:top w:val="none" w:sz="0" w:space="0" w:color="auto"/>
        <w:left w:val="none" w:sz="0" w:space="0" w:color="auto"/>
        <w:bottom w:val="none" w:sz="0" w:space="0" w:color="auto"/>
        <w:right w:val="none" w:sz="0" w:space="0" w:color="auto"/>
      </w:divBdr>
    </w:div>
    <w:div w:id="476186543">
      <w:bodyDiv w:val="1"/>
      <w:marLeft w:val="0"/>
      <w:marRight w:val="0"/>
      <w:marTop w:val="0"/>
      <w:marBottom w:val="0"/>
      <w:divBdr>
        <w:top w:val="none" w:sz="0" w:space="0" w:color="auto"/>
        <w:left w:val="none" w:sz="0" w:space="0" w:color="auto"/>
        <w:bottom w:val="none" w:sz="0" w:space="0" w:color="auto"/>
        <w:right w:val="none" w:sz="0" w:space="0" w:color="auto"/>
      </w:divBdr>
    </w:div>
    <w:div w:id="510805364">
      <w:bodyDiv w:val="1"/>
      <w:marLeft w:val="0"/>
      <w:marRight w:val="0"/>
      <w:marTop w:val="0"/>
      <w:marBottom w:val="0"/>
      <w:divBdr>
        <w:top w:val="none" w:sz="0" w:space="0" w:color="auto"/>
        <w:left w:val="none" w:sz="0" w:space="0" w:color="auto"/>
        <w:bottom w:val="none" w:sz="0" w:space="0" w:color="auto"/>
        <w:right w:val="none" w:sz="0" w:space="0" w:color="auto"/>
      </w:divBdr>
    </w:div>
    <w:div w:id="515387304">
      <w:bodyDiv w:val="1"/>
      <w:marLeft w:val="0"/>
      <w:marRight w:val="0"/>
      <w:marTop w:val="0"/>
      <w:marBottom w:val="0"/>
      <w:divBdr>
        <w:top w:val="none" w:sz="0" w:space="0" w:color="auto"/>
        <w:left w:val="none" w:sz="0" w:space="0" w:color="auto"/>
        <w:bottom w:val="none" w:sz="0" w:space="0" w:color="auto"/>
        <w:right w:val="none" w:sz="0" w:space="0" w:color="auto"/>
      </w:divBdr>
    </w:div>
    <w:div w:id="875049499">
      <w:bodyDiv w:val="1"/>
      <w:marLeft w:val="0"/>
      <w:marRight w:val="0"/>
      <w:marTop w:val="0"/>
      <w:marBottom w:val="0"/>
      <w:divBdr>
        <w:top w:val="none" w:sz="0" w:space="0" w:color="auto"/>
        <w:left w:val="none" w:sz="0" w:space="0" w:color="auto"/>
        <w:bottom w:val="none" w:sz="0" w:space="0" w:color="auto"/>
        <w:right w:val="none" w:sz="0" w:space="0" w:color="auto"/>
      </w:divBdr>
    </w:div>
    <w:div w:id="884021101">
      <w:bodyDiv w:val="1"/>
      <w:marLeft w:val="0"/>
      <w:marRight w:val="0"/>
      <w:marTop w:val="0"/>
      <w:marBottom w:val="0"/>
      <w:divBdr>
        <w:top w:val="none" w:sz="0" w:space="0" w:color="auto"/>
        <w:left w:val="none" w:sz="0" w:space="0" w:color="auto"/>
        <w:bottom w:val="none" w:sz="0" w:space="0" w:color="auto"/>
        <w:right w:val="none" w:sz="0" w:space="0" w:color="auto"/>
      </w:divBdr>
      <w:divsChild>
        <w:div w:id="100532349">
          <w:marLeft w:val="547"/>
          <w:marRight w:val="0"/>
          <w:marTop w:val="86"/>
          <w:marBottom w:val="0"/>
          <w:divBdr>
            <w:top w:val="none" w:sz="0" w:space="0" w:color="auto"/>
            <w:left w:val="none" w:sz="0" w:space="0" w:color="auto"/>
            <w:bottom w:val="none" w:sz="0" w:space="0" w:color="auto"/>
            <w:right w:val="none" w:sz="0" w:space="0" w:color="auto"/>
          </w:divBdr>
        </w:div>
        <w:div w:id="1547524976">
          <w:marLeft w:val="547"/>
          <w:marRight w:val="0"/>
          <w:marTop w:val="86"/>
          <w:marBottom w:val="0"/>
          <w:divBdr>
            <w:top w:val="none" w:sz="0" w:space="0" w:color="auto"/>
            <w:left w:val="none" w:sz="0" w:space="0" w:color="auto"/>
            <w:bottom w:val="none" w:sz="0" w:space="0" w:color="auto"/>
            <w:right w:val="none" w:sz="0" w:space="0" w:color="auto"/>
          </w:divBdr>
        </w:div>
      </w:divsChild>
    </w:div>
    <w:div w:id="970673106">
      <w:bodyDiv w:val="1"/>
      <w:marLeft w:val="0"/>
      <w:marRight w:val="0"/>
      <w:marTop w:val="0"/>
      <w:marBottom w:val="0"/>
      <w:divBdr>
        <w:top w:val="none" w:sz="0" w:space="0" w:color="auto"/>
        <w:left w:val="none" w:sz="0" w:space="0" w:color="auto"/>
        <w:bottom w:val="none" w:sz="0" w:space="0" w:color="auto"/>
        <w:right w:val="none" w:sz="0" w:space="0" w:color="auto"/>
      </w:divBdr>
    </w:div>
    <w:div w:id="1021474267">
      <w:bodyDiv w:val="1"/>
      <w:marLeft w:val="0"/>
      <w:marRight w:val="0"/>
      <w:marTop w:val="0"/>
      <w:marBottom w:val="0"/>
      <w:divBdr>
        <w:top w:val="none" w:sz="0" w:space="0" w:color="auto"/>
        <w:left w:val="none" w:sz="0" w:space="0" w:color="auto"/>
        <w:bottom w:val="none" w:sz="0" w:space="0" w:color="auto"/>
        <w:right w:val="none" w:sz="0" w:space="0" w:color="auto"/>
      </w:divBdr>
    </w:div>
    <w:div w:id="1127552608">
      <w:bodyDiv w:val="1"/>
      <w:marLeft w:val="0"/>
      <w:marRight w:val="0"/>
      <w:marTop w:val="0"/>
      <w:marBottom w:val="0"/>
      <w:divBdr>
        <w:top w:val="none" w:sz="0" w:space="0" w:color="auto"/>
        <w:left w:val="none" w:sz="0" w:space="0" w:color="auto"/>
        <w:bottom w:val="none" w:sz="0" w:space="0" w:color="auto"/>
        <w:right w:val="none" w:sz="0" w:space="0" w:color="auto"/>
      </w:divBdr>
    </w:div>
    <w:div w:id="1178077329">
      <w:bodyDiv w:val="1"/>
      <w:marLeft w:val="0"/>
      <w:marRight w:val="0"/>
      <w:marTop w:val="0"/>
      <w:marBottom w:val="0"/>
      <w:divBdr>
        <w:top w:val="none" w:sz="0" w:space="0" w:color="auto"/>
        <w:left w:val="none" w:sz="0" w:space="0" w:color="auto"/>
        <w:bottom w:val="none" w:sz="0" w:space="0" w:color="auto"/>
        <w:right w:val="none" w:sz="0" w:space="0" w:color="auto"/>
      </w:divBdr>
    </w:div>
    <w:div w:id="1707755881">
      <w:bodyDiv w:val="1"/>
      <w:marLeft w:val="0"/>
      <w:marRight w:val="0"/>
      <w:marTop w:val="0"/>
      <w:marBottom w:val="0"/>
      <w:divBdr>
        <w:top w:val="none" w:sz="0" w:space="0" w:color="auto"/>
        <w:left w:val="none" w:sz="0" w:space="0" w:color="auto"/>
        <w:bottom w:val="none" w:sz="0" w:space="0" w:color="auto"/>
        <w:right w:val="none" w:sz="0" w:space="0" w:color="auto"/>
      </w:divBdr>
    </w:div>
    <w:div w:id="1769037333">
      <w:bodyDiv w:val="1"/>
      <w:marLeft w:val="0"/>
      <w:marRight w:val="0"/>
      <w:marTop w:val="0"/>
      <w:marBottom w:val="0"/>
      <w:divBdr>
        <w:top w:val="none" w:sz="0" w:space="0" w:color="auto"/>
        <w:left w:val="none" w:sz="0" w:space="0" w:color="auto"/>
        <w:bottom w:val="none" w:sz="0" w:space="0" w:color="auto"/>
        <w:right w:val="none" w:sz="0" w:space="0" w:color="auto"/>
      </w:divBdr>
      <w:divsChild>
        <w:div w:id="1032073345">
          <w:marLeft w:val="562"/>
          <w:marRight w:val="115"/>
          <w:marTop w:val="134"/>
          <w:marBottom w:val="0"/>
          <w:divBdr>
            <w:top w:val="none" w:sz="0" w:space="0" w:color="auto"/>
            <w:left w:val="none" w:sz="0" w:space="0" w:color="auto"/>
            <w:bottom w:val="none" w:sz="0" w:space="0" w:color="auto"/>
            <w:right w:val="none" w:sz="0" w:space="0" w:color="auto"/>
          </w:divBdr>
        </w:div>
        <w:div w:id="1580864319">
          <w:marLeft w:val="691"/>
          <w:marRight w:val="0"/>
          <w:marTop w:val="134"/>
          <w:marBottom w:val="0"/>
          <w:divBdr>
            <w:top w:val="none" w:sz="0" w:space="0" w:color="auto"/>
            <w:left w:val="none" w:sz="0" w:space="0" w:color="auto"/>
            <w:bottom w:val="none" w:sz="0" w:space="0" w:color="auto"/>
            <w:right w:val="none" w:sz="0" w:space="0" w:color="auto"/>
          </w:divBdr>
        </w:div>
        <w:div w:id="1724018021">
          <w:marLeft w:val="562"/>
          <w:marRight w:val="14"/>
          <w:marTop w:val="0"/>
          <w:marBottom w:val="0"/>
          <w:divBdr>
            <w:top w:val="none" w:sz="0" w:space="0" w:color="auto"/>
            <w:left w:val="none" w:sz="0" w:space="0" w:color="auto"/>
            <w:bottom w:val="none" w:sz="0" w:space="0" w:color="auto"/>
            <w:right w:val="none" w:sz="0" w:space="0" w:color="auto"/>
          </w:divBdr>
        </w:div>
      </w:divsChild>
    </w:div>
    <w:div w:id="182427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minfin.gob.gt/index.php/?option=com_content&amp;view=article&amp;id=5604&amp;Itemid=430" TargetMode="Externa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fin.gob.gt/index.php/proyecto-de-presupuesto" TargetMode="External"/><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minfin.gob.gt/index.php/proyecto-de-presupuest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Acerca del “Proyecto de Presupuesto General de Ingresos y Egresos del Estado para el Ejercicio Fiscal 2020, y Multianual 2020-2024”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B8C56-E8A2-493A-8AF9-C16DB38A4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3605</Words>
  <Characters>19833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Informe Preliminar</vt:lpstr>
    </vt:vector>
  </TitlesOfParts>
  <Company>Microsoft</Company>
  <LinksUpToDate>false</LinksUpToDate>
  <CharactersWithSpaces>23392</CharactersWithSpaces>
  <SharedDoc>false</SharedDoc>
  <HLinks>
    <vt:vector size="18" baseType="variant">
      <vt:variant>
        <vt:i4>6291504</vt:i4>
      </vt:variant>
      <vt:variant>
        <vt:i4>6</vt:i4>
      </vt:variant>
      <vt:variant>
        <vt:i4>0</vt:i4>
      </vt:variant>
      <vt:variant>
        <vt:i4>5</vt:i4>
      </vt:variant>
      <vt:variant>
        <vt:lpwstr>http://www.minfin.gob.gt/index.php/proyecto-de-presupuesto</vt:lpwstr>
      </vt:variant>
      <vt:variant>
        <vt:lpwstr/>
      </vt:variant>
      <vt:variant>
        <vt:i4>3407876</vt:i4>
      </vt:variant>
      <vt:variant>
        <vt:i4>3</vt:i4>
      </vt:variant>
      <vt:variant>
        <vt:i4>0</vt:i4>
      </vt:variant>
      <vt:variant>
        <vt:i4>5</vt:i4>
      </vt:variant>
      <vt:variant>
        <vt:lpwstr>http://www.minfin.gob.gt/index.php/?option=com_content&amp;view=article&amp;id=5604&amp;Itemid=430</vt:lpwstr>
      </vt:variant>
      <vt:variant>
        <vt:lpwstr/>
      </vt:variant>
      <vt:variant>
        <vt:i4>6291504</vt:i4>
      </vt:variant>
      <vt:variant>
        <vt:i4>0</vt:i4>
      </vt:variant>
      <vt:variant>
        <vt:i4>0</vt:i4>
      </vt:variant>
      <vt:variant>
        <vt:i4>5</vt:i4>
      </vt:variant>
      <vt:variant>
        <vt:lpwstr>http://www.minfin.gob.gt/index.php/proyecto-de-presupuesto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Preliminar</dc:title>
  <dc:subject> </dc:subject>
  <dc:creator>transpfis08</dc:creator>
  <cp:keywords/>
  <cp:lastModifiedBy>Javier Augusto  Estrada Gordillo</cp:lastModifiedBy>
  <cp:revision>2</cp:revision>
  <cp:lastPrinted>2019-07-31T00:21:00Z</cp:lastPrinted>
  <dcterms:created xsi:type="dcterms:W3CDTF">2020-06-11T17:16:00Z</dcterms:created>
  <dcterms:modified xsi:type="dcterms:W3CDTF">2020-06-11T17:16:00Z</dcterms:modified>
</cp:coreProperties>
</file>